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конкурса в электронной форме №  </w:t>
      </w:r>
      <w:r w:rsidR="000C0F93" w:rsidRPr="006E16FB">
        <w:rPr>
          <w:bCs/>
          <w:sz w:val="28"/>
          <w:szCs w:val="28"/>
        </w:rPr>
        <w:t>28257</w:t>
      </w:r>
      <w:r w:rsidRPr="006E16FB">
        <w:rPr>
          <w:bCs/>
          <w:sz w:val="28"/>
          <w:szCs w:val="28"/>
        </w:rPr>
        <w:t>/ОКЭ -  АО «ППК «Черноземье»/2019/ВРЖ</w:t>
      </w:r>
    </w:p>
    <w:p w:rsidR="006D7D15" w:rsidRPr="006E16FB" w:rsidRDefault="005055B4" w:rsidP="005055B4">
      <w:pPr>
        <w:jc w:val="center"/>
        <w:rPr>
          <w:rFonts w:eastAsia="MS Mincho"/>
          <w:szCs w:val="28"/>
        </w:rPr>
      </w:pPr>
      <w:r w:rsidRPr="006E16FB">
        <w:rPr>
          <w:bCs/>
          <w:sz w:val="28"/>
          <w:szCs w:val="28"/>
        </w:rPr>
        <w:t xml:space="preserve"> на оказание услуг 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xml:space="preserve">№ </w:t>
            </w:r>
            <w:proofErr w:type="gramStart"/>
            <w:r w:rsidRPr="00DE6E5A">
              <w:rPr>
                <w:b/>
                <w:bCs/>
                <w:sz w:val="28"/>
                <w:szCs w:val="28"/>
              </w:rPr>
              <w:t>п</w:t>
            </w:r>
            <w:proofErr w:type="gramEnd"/>
            <w:r w:rsidRPr="00DE6E5A">
              <w:rPr>
                <w:b/>
                <w:bCs/>
                <w:sz w:val="28"/>
                <w:szCs w:val="28"/>
              </w:rPr>
              <w:t>/п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proofErr w:type="gramStart"/>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Pr="005055B4">
              <w:rPr>
                <w:bCs/>
                <w:sz w:val="28"/>
                <w:szCs w:val="28"/>
              </w:rPr>
              <w:t>.</w:t>
            </w:r>
            <w:proofErr w:type="gramEnd"/>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конкурсу в электронной форме №  </w:t>
            </w:r>
            <w:r w:rsidR="000C0F93">
              <w:rPr>
                <w:bCs/>
                <w:sz w:val="28"/>
                <w:szCs w:val="28"/>
              </w:rPr>
              <w:t>28257</w:t>
            </w:r>
            <w:r w:rsidR="005055B4" w:rsidRPr="005055B4">
              <w:rPr>
                <w:bCs/>
                <w:sz w:val="28"/>
                <w:szCs w:val="28"/>
              </w:rPr>
              <w:t xml:space="preserve">/ОКЭ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 №  </w:t>
            </w:r>
            <w:r w:rsidR="000C0F93">
              <w:rPr>
                <w:bCs/>
                <w:sz w:val="28"/>
                <w:szCs w:val="28"/>
              </w:rPr>
              <w:t>28257</w:t>
            </w:r>
            <w:r w:rsidRPr="005055B4">
              <w:rPr>
                <w:bCs/>
                <w:sz w:val="28"/>
                <w:szCs w:val="28"/>
              </w:rPr>
              <w:t xml:space="preserve">/ОКЭ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lastRenderedPageBreak/>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5055B4" w:rsidRDefault="005055B4" w:rsidP="005055B4">
            <w:pPr>
              <w:jc w:val="both"/>
              <w:rPr>
                <w:bCs/>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p w:rsidR="005055B4" w:rsidRPr="00DE6E5A" w:rsidRDefault="005055B4"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6.</w:t>
            </w:r>
          </w:p>
        </w:tc>
        <w:tc>
          <w:tcPr>
            <w:tcW w:w="3776" w:type="dxa"/>
          </w:tcPr>
          <w:p w:rsidR="005055B4" w:rsidRPr="00DE6E5A" w:rsidRDefault="005055B4" w:rsidP="005055B4">
            <w:pPr>
              <w:jc w:val="center"/>
              <w:rPr>
                <w:bCs/>
                <w:sz w:val="28"/>
                <w:szCs w:val="28"/>
              </w:rPr>
            </w:pPr>
            <w:r w:rsidRPr="00DE6E5A">
              <w:rPr>
                <w:bCs/>
                <w:sz w:val="28"/>
                <w:szCs w:val="28"/>
              </w:rPr>
              <w:t>Обеспечение исполнения договора</w:t>
            </w:r>
          </w:p>
          <w:p w:rsidR="005055B4" w:rsidRPr="00DE6E5A" w:rsidRDefault="005055B4" w:rsidP="005055B4">
            <w:pPr>
              <w:jc w:val="center"/>
              <w:rPr>
                <w:bCs/>
                <w:sz w:val="28"/>
                <w:szCs w:val="28"/>
              </w:rPr>
            </w:pPr>
          </w:p>
        </w:tc>
        <w:tc>
          <w:tcPr>
            <w:tcW w:w="6119" w:type="dxa"/>
          </w:tcPr>
          <w:p w:rsidR="005055B4" w:rsidRPr="005055B4" w:rsidRDefault="005055B4" w:rsidP="005055B4">
            <w:pPr>
              <w:jc w:val="both"/>
              <w:rPr>
                <w:bCs/>
                <w:sz w:val="28"/>
                <w:szCs w:val="28"/>
              </w:rPr>
            </w:pPr>
            <w:r w:rsidRPr="005055B4">
              <w:rPr>
                <w:bCs/>
                <w:sz w:val="28"/>
                <w:szCs w:val="28"/>
              </w:rPr>
              <w:t>Обеспечение исполнения договора не предусмотрено.</w:t>
            </w:r>
          </w:p>
          <w:p w:rsidR="005055B4" w:rsidRPr="00DE6E5A" w:rsidRDefault="005055B4"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5055B4" w:rsidRPr="006E16FB" w:rsidRDefault="005055B4" w:rsidP="000C0F93">
            <w:pPr>
              <w:jc w:val="both"/>
              <w:rPr>
                <w:bCs/>
                <w:sz w:val="28"/>
                <w:szCs w:val="28"/>
              </w:rPr>
            </w:pPr>
            <w:bookmarkStart w:id="1" w:name="_Hlk6397976"/>
            <w:r w:rsidRPr="006E16FB">
              <w:rPr>
                <w:bCs/>
                <w:sz w:val="28"/>
                <w:szCs w:val="28"/>
              </w:rPr>
              <w:t xml:space="preserve">Оказание услуг </w:t>
            </w:r>
            <w:bookmarkStart w:id="2" w:name="_Hlk6398046"/>
            <w:r w:rsidRPr="006E16FB">
              <w:rPr>
                <w:bCs/>
                <w:sz w:val="28"/>
                <w:szCs w:val="28"/>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bookmarkEnd w:id="2"/>
            <w:r w:rsidRPr="006E16FB">
              <w:rPr>
                <w:bCs/>
                <w:sz w:val="28"/>
                <w:szCs w:val="28"/>
              </w:rPr>
              <w:t>.</w:t>
            </w:r>
          </w:p>
          <w:bookmarkEnd w:id="1"/>
          <w:p w:rsidR="005055B4" w:rsidRPr="00DE6E5A" w:rsidRDefault="005055B4" w:rsidP="005055B4">
            <w:pPr>
              <w:jc w:val="both"/>
              <w:rPr>
                <w:bCs/>
                <w:sz w:val="28"/>
                <w:szCs w:val="28"/>
              </w:rPr>
            </w:pPr>
            <w:r>
              <w:rPr>
                <w:bCs/>
                <w:sz w:val="28"/>
                <w:szCs w:val="28"/>
              </w:rPr>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Default="005055B4" w:rsidP="005055B4">
            <w:pPr>
              <w:jc w:val="both"/>
              <w:rPr>
                <w:bCs/>
                <w:sz w:val="28"/>
                <w:szCs w:val="28"/>
              </w:rPr>
            </w:pPr>
            <w:r w:rsidRPr="005055B4">
              <w:rPr>
                <w:bCs/>
                <w:sz w:val="28"/>
                <w:szCs w:val="28"/>
              </w:rPr>
              <w:t>Начальная (максимальная) цена договора</w:t>
            </w:r>
            <w:r>
              <w:rPr>
                <w:bCs/>
                <w:sz w:val="28"/>
                <w:szCs w:val="28"/>
              </w:rPr>
              <w:t>:</w:t>
            </w:r>
            <w:r w:rsidRPr="005055B4">
              <w:rPr>
                <w:bCs/>
                <w:sz w:val="28"/>
                <w:szCs w:val="28"/>
              </w:rPr>
              <w:t xml:space="preserve">  </w:t>
            </w:r>
          </w:p>
          <w:p w:rsidR="005055B4" w:rsidRDefault="005055B4" w:rsidP="005055B4">
            <w:pPr>
              <w:jc w:val="both"/>
              <w:rPr>
                <w:color w:val="000000"/>
                <w:sz w:val="28"/>
                <w:szCs w:val="28"/>
              </w:rPr>
            </w:pPr>
            <w:r w:rsidRPr="005055B4">
              <w:rPr>
                <w:bCs/>
                <w:i/>
                <w:sz w:val="28"/>
                <w:szCs w:val="28"/>
              </w:rPr>
              <w:t xml:space="preserve"> </w:t>
            </w:r>
            <w:bookmarkStart w:id="3" w:name="_Hlk6398105"/>
            <w:r w:rsidRPr="005055B4">
              <w:rPr>
                <w:color w:val="000000"/>
                <w:sz w:val="28"/>
                <w:szCs w:val="28"/>
              </w:rPr>
              <w:t>3 346 406</w:t>
            </w:r>
            <w:bookmarkEnd w:id="3"/>
            <w:r w:rsidR="00903CFA">
              <w:rPr>
                <w:color w:val="000000"/>
                <w:sz w:val="28"/>
                <w:szCs w:val="28"/>
              </w:rPr>
              <w:t xml:space="preserve"> </w:t>
            </w:r>
            <w:r w:rsidR="00903CFA" w:rsidRPr="00260CC5">
              <w:rPr>
                <w:bCs/>
                <w:sz w:val="28"/>
                <w:szCs w:val="28"/>
              </w:rPr>
              <w:t>(</w:t>
            </w:r>
            <w:r w:rsidR="00903CFA">
              <w:rPr>
                <w:bCs/>
                <w:sz w:val="28"/>
                <w:szCs w:val="28"/>
              </w:rPr>
              <w:t>три миллиона триста сорок шесть тысяч четыреста шесть</w:t>
            </w:r>
            <w:r w:rsidR="00903CFA" w:rsidRPr="00260CC5">
              <w:rPr>
                <w:bCs/>
                <w:sz w:val="28"/>
                <w:szCs w:val="28"/>
              </w:rPr>
              <w:t>) рубл</w:t>
            </w:r>
            <w:r w:rsidR="00903CFA">
              <w:rPr>
                <w:bCs/>
                <w:sz w:val="28"/>
                <w:szCs w:val="28"/>
              </w:rPr>
              <w:t>ей</w:t>
            </w:r>
            <w:r w:rsidR="00903CFA" w:rsidRPr="00260CC5">
              <w:rPr>
                <w:bCs/>
                <w:sz w:val="28"/>
                <w:szCs w:val="28"/>
              </w:rPr>
              <w:t xml:space="preserve"> </w:t>
            </w:r>
            <w:r w:rsidR="00903CFA">
              <w:rPr>
                <w:bCs/>
                <w:sz w:val="28"/>
                <w:szCs w:val="28"/>
              </w:rPr>
              <w:t xml:space="preserve">58 </w:t>
            </w:r>
            <w:r w:rsidR="00903CFA" w:rsidRPr="00260CC5">
              <w:rPr>
                <w:bCs/>
                <w:sz w:val="28"/>
                <w:szCs w:val="28"/>
              </w:rPr>
              <w:t>копе</w:t>
            </w:r>
            <w:r w:rsidR="00903CFA">
              <w:rPr>
                <w:bCs/>
                <w:sz w:val="28"/>
                <w:szCs w:val="28"/>
              </w:rPr>
              <w:t>ек</w:t>
            </w:r>
            <w:r w:rsidRPr="005055B4">
              <w:rPr>
                <w:color w:val="000000"/>
                <w:sz w:val="28"/>
                <w:szCs w:val="28"/>
              </w:rPr>
              <w:t xml:space="preserve"> без учета НДС, </w:t>
            </w:r>
            <w:bookmarkStart w:id="4" w:name="_Hlk6398120"/>
          </w:p>
          <w:p w:rsidR="005055B4" w:rsidRPr="005055B4" w:rsidRDefault="005055B4" w:rsidP="005055B4">
            <w:pPr>
              <w:jc w:val="both"/>
              <w:rPr>
                <w:bCs/>
                <w:i/>
                <w:sz w:val="28"/>
                <w:szCs w:val="28"/>
              </w:rPr>
            </w:pPr>
            <w:r w:rsidRPr="005055B4">
              <w:rPr>
                <w:bCs/>
                <w:color w:val="000000"/>
                <w:sz w:val="28"/>
                <w:szCs w:val="28"/>
              </w:rPr>
              <w:t>4 015 687</w:t>
            </w:r>
            <w:bookmarkEnd w:id="4"/>
            <w:r w:rsidRPr="005055B4">
              <w:rPr>
                <w:bCs/>
                <w:color w:val="000000"/>
                <w:sz w:val="28"/>
                <w:szCs w:val="28"/>
              </w:rPr>
              <w:t xml:space="preserve"> </w:t>
            </w:r>
            <w:r w:rsidR="00903CFA">
              <w:rPr>
                <w:bCs/>
                <w:color w:val="000000"/>
                <w:sz w:val="28"/>
                <w:szCs w:val="28"/>
              </w:rPr>
              <w:t>(</w:t>
            </w:r>
            <w:r w:rsidR="00903CFA">
              <w:rPr>
                <w:sz w:val="28"/>
                <w:szCs w:val="28"/>
              </w:rPr>
              <w:t>четыре миллиона пятнадцать тысяч шестьсот восемьдесят семь</w:t>
            </w:r>
            <w:r w:rsidR="00903CFA" w:rsidRPr="000F37C9">
              <w:rPr>
                <w:sz w:val="28"/>
                <w:szCs w:val="28"/>
              </w:rPr>
              <w:t xml:space="preserve">) рублей </w:t>
            </w:r>
            <w:r w:rsidR="00903CFA">
              <w:rPr>
                <w:sz w:val="28"/>
                <w:szCs w:val="28"/>
              </w:rPr>
              <w:t xml:space="preserve">90 </w:t>
            </w:r>
            <w:r w:rsidR="00903CFA" w:rsidRPr="000F37C9">
              <w:rPr>
                <w:sz w:val="28"/>
                <w:szCs w:val="28"/>
              </w:rPr>
              <w:t>копеек</w:t>
            </w:r>
            <w:r w:rsidRPr="005055B4">
              <w:rPr>
                <w:bCs/>
                <w:color w:val="000000"/>
                <w:sz w:val="28"/>
                <w:szCs w:val="28"/>
              </w:rPr>
              <w:t xml:space="preserve"> с учетом НДС.</w:t>
            </w:r>
          </w:p>
          <w:p w:rsidR="005055B4" w:rsidRPr="005055B4" w:rsidRDefault="005055B4" w:rsidP="005055B4">
            <w:pPr>
              <w:pStyle w:val="a6"/>
              <w:ind w:left="0"/>
              <w:jc w:val="both"/>
              <w:rPr>
                <w:sz w:val="28"/>
                <w:szCs w:val="28"/>
              </w:rPr>
            </w:pPr>
            <w:r w:rsidRPr="005055B4">
              <w:rPr>
                <w:bCs/>
                <w:sz w:val="28"/>
                <w:szCs w:val="28"/>
              </w:rPr>
              <w:t>Начальная (максимальная) цена договора включает все расходы, которые могут возникнуть в процессе исполнения договора, в т.ч.</w:t>
            </w:r>
            <w:r w:rsidRPr="005055B4">
              <w:rPr>
                <w:sz w:val="28"/>
                <w:szCs w:val="28"/>
              </w:rPr>
              <w:t xml:space="preserve"> стоимость расходных материалов, расходы на монтажные работы, пусконаладочные работы , а также расходы</w:t>
            </w:r>
            <w:r w:rsidRPr="005055B4">
              <w:rPr>
                <w:bCs/>
                <w:sz w:val="28"/>
                <w:szCs w:val="28"/>
              </w:rPr>
              <w:t xml:space="preserve"> на перевозку, страхование и т.п., уплату таможенных пошлин, налогов </w:t>
            </w:r>
            <w:r w:rsidRPr="005055B4">
              <w:rPr>
                <w:bCs/>
                <w:sz w:val="28"/>
                <w:szCs w:val="28"/>
              </w:rPr>
              <w:lastRenderedPageBreak/>
              <w:t>(кроме НДС), и других обязательных платежей.</w:t>
            </w:r>
            <w:r w:rsidRPr="005055B4">
              <w:rPr>
                <w:sz w:val="28"/>
                <w:szCs w:val="28"/>
              </w:rPr>
              <w:t xml:space="preserve"> </w:t>
            </w:r>
          </w:p>
          <w:p w:rsidR="005055B4" w:rsidRPr="00DE6E5A" w:rsidRDefault="005055B4"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7454B5" w:rsidRPr="006E16FB">
              <w:rPr>
                <w:bCs/>
                <w:sz w:val="28"/>
                <w:szCs w:val="28"/>
              </w:rPr>
              <w:t>30</w:t>
            </w:r>
            <w:r w:rsidR="00BE08B6" w:rsidRPr="006E16FB">
              <w:rPr>
                <w:bCs/>
                <w:sz w:val="28"/>
                <w:szCs w:val="28"/>
              </w:rPr>
              <w:t>» апреля 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0C0F93">
              <w:rPr>
                <w:b/>
                <w:bCs/>
                <w:sz w:val="28"/>
                <w:szCs w:val="28"/>
              </w:rPr>
              <w:t>11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0C0F93">
              <w:rPr>
                <w:b/>
                <w:bCs/>
                <w:sz w:val="28"/>
                <w:szCs w:val="28"/>
              </w:rPr>
              <w:t>22</w:t>
            </w:r>
            <w:r w:rsidR="00BE08B6" w:rsidRPr="00BF145C">
              <w:rPr>
                <w:b/>
                <w:bCs/>
                <w:sz w:val="28"/>
                <w:szCs w:val="28"/>
              </w:rPr>
              <w:t>»</w:t>
            </w:r>
            <w:r w:rsidR="00BE08B6">
              <w:rPr>
                <w:b/>
                <w:bCs/>
                <w:sz w:val="28"/>
                <w:szCs w:val="28"/>
              </w:rPr>
              <w:t xml:space="preserve"> мая </w:t>
            </w:r>
            <w:r w:rsidR="00BE08B6" w:rsidRPr="00BF145C">
              <w:rPr>
                <w:b/>
                <w:bCs/>
                <w:sz w:val="28"/>
                <w:szCs w:val="28"/>
              </w:rPr>
              <w:t>2019 г.</w:t>
            </w:r>
          </w:p>
          <w:p w:rsidR="005055B4" w:rsidRPr="00DE6E5A" w:rsidRDefault="00BE08B6" w:rsidP="00BE08B6">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конкурс</w:t>
            </w:r>
            <w:r>
              <w:rPr>
                <w:sz w:val="28"/>
                <w:szCs w:val="28"/>
              </w:rPr>
              <w:t>е</w:t>
            </w:r>
            <w:r w:rsidRPr="00C906AC">
              <w:rPr>
                <w:sz w:val="28"/>
                <w:szCs w:val="28"/>
              </w:rPr>
              <w:t xml:space="preserve"> в электронной форме </w:t>
            </w:r>
            <w:r w:rsidRPr="00C906AC">
              <w:rPr>
                <w:i/>
                <w:sz w:val="28"/>
                <w:szCs w:val="28"/>
              </w:rPr>
              <w:t>№</w:t>
            </w:r>
            <w:r w:rsidRPr="00C906AC">
              <w:rPr>
                <w:bCs/>
                <w:sz w:val="28"/>
                <w:szCs w:val="28"/>
              </w:rPr>
              <w:t xml:space="preserve"> </w:t>
            </w:r>
            <w:r w:rsidR="000C0F93">
              <w:rPr>
                <w:bCs/>
                <w:sz w:val="28"/>
                <w:szCs w:val="28"/>
              </w:rPr>
              <w:t>28257</w:t>
            </w:r>
            <w:r w:rsidRPr="00C906AC">
              <w:rPr>
                <w:bCs/>
                <w:sz w:val="28"/>
                <w:szCs w:val="28"/>
              </w:rPr>
              <w:t>/ОКЭ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p w:rsidR="005055B4" w:rsidRPr="00DE6E5A" w:rsidRDefault="005055B4" w:rsidP="00BE08B6">
            <w:pPr>
              <w:tabs>
                <w:tab w:val="left" w:pos="3081"/>
              </w:tabs>
              <w:jc w:val="both"/>
              <w:rPr>
                <w:b/>
                <w:bCs/>
                <w:i/>
                <w:sz w:val="28"/>
                <w:szCs w:val="28"/>
              </w:rPr>
            </w:pPr>
            <w:r w:rsidRPr="00DE6E5A">
              <w:rPr>
                <w:b/>
                <w:bCs/>
                <w:i/>
                <w:sz w:val="28"/>
                <w:szCs w:val="28"/>
              </w:rPr>
              <w:tab/>
            </w:r>
          </w:p>
          <w:p w:rsidR="005055B4" w:rsidRPr="00DE6E5A" w:rsidRDefault="005055B4" w:rsidP="00BE08B6">
            <w:pPr>
              <w:jc w:val="both"/>
              <w:rPr>
                <w:bCs/>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12.</w:t>
            </w:r>
          </w:p>
        </w:tc>
        <w:tc>
          <w:tcPr>
            <w:tcW w:w="3776" w:type="dxa"/>
          </w:tcPr>
          <w:p w:rsidR="005055B4" w:rsidRPr="00DE6E5A" w:rsidRDefault="005055B4" w:rsidP="005055B4">
            <w:pPr>
              <w:jc w:val="center"/>
              <w:rPr>
                <w:bCs/>
                <w:sz w:val="28"/>
                <w:szCs w:val="28"/>
              </w:rPr>
            </w:pPr>
            <w:r w:rsidRPr="00DE6E5A">
              <w:rPr>
                <w:bCs/>
                <w:sz w:val="28"/>
                <w:szCs w:val="28"/>
              </w:rPr>
              <w:t>Порядок подведения итогов закупки</w:t>
            </w:r>
          </w:p>
        </w:tc>
        <w:tc>
          <w:tcPr>
            <w:tcW w:w="6119" w:type="dxa"/>
          </w:tcPr>
          <w:p w:rsidR="005055B4" w:rsidRPr="00DE6E5A" w:rsidRDefault="005055B4" w:rsidP="005055B4">
            <w:pPr>
              <w:ind w:left="8"/>
              <w:jc w:val="both"/>
              <w:rPr>
                <w:bCs/>
                <w:sz w:val="28"/>
                <w:szCs w:val="28"/>
              </w:rPr>
            </w:pPr>
            <w:r w:rsidRPr="00DE6E5A">
              <w:rPr>
                <w:bCs/>
                <w:sz w:val="28"/>
                <w:szCs w:val="28"/>
              </w:rPr>
              <w:t>Подведение итогов осуществляется в следующем порядке:</w:t>
            </w:r>
          </w:p>
          <w:p w:rsidR="005055B4" w:rsidRPr="00DE6E5A" w:rsidRDefault="005055B4" w:rsidP="005055B4">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000C0F93">
              <w:rPr>
                <w:sz w:val="28"/>
                <w:szCs w:val="28"/>
              </w:rPr>
              <w:t>11</w:t>
            </w:r>
            <w:r w:rsidR="00BE08B6" w:rsidRPr="00BF145C">
              <w:rPr>
                <w:b/>
                <w:bCs/>
                <w:sz w:val="28"/>
                <w:szCs w:val="28"/>
              </w:rPr>
              <w:t xml:space="preserve">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0C0F93">
              <w:rPr>
                <w:b/>
                <w:bCs/>
                <w:sz w:val="28"/>
                <w:szCs w:val="28"/>
              </w:rPr>
              <w:t>22</w:t>
            </w:r>
            <w:r w:rsidR="00BE08B6" w:rsidRPr="00BF145C">
              <w:rPr>
                <w:b/>
                <w:bCs/>
                <w:sz w:val="28"/>
                <w:szCs w:val="28"/>
              </w:rPr>
              <w:t>»</w:t>
            </w:r>
            <w:r w:rsidR="00BE08B6">
              <w:rPr>
                <w:b/>
                <w:bCs/>
                <w:sz w:val="28"/>
                <w:szCs w:val="28"/>
              </w:rPr>
              <w:t xml:space="preserve"> мая </w:t>
            </w:r>
            <w:r w:rsidR="00BE08B6" w:rsidRPr="00BF145C">
              <w:rPr>
                <w:b/>
                <w:bCs/>
                <w:sz w:val="28"/>
                <w:szCs w:val="28"/>
              </w:rPr>
              <w:t>2019 г.</w:t>
            </w:r>
            <w:r w:rsidR="00BE08B6">
              <w:rPr>
                <w:b/>
                <w:bCs/>
                <w:sz w:val="28"/>
                <w:szCs w:val="28"/>
              </w:rPr>
              <w:t xml:space="preserve"> </w:t>
            </w:r>
            <w:r w:rsidRPr="00DE6E5A">
              <w:rPr>
                <w:sz w:val="28"/>
                <w:szCs w:val="28"/>
              </w:rPr>
              <w:t xml:space="preserve">на ЭТЗП (на странице данного </w:t>
            </w:r>
            <w:r w:rsidR="00BE08B6">
              <w:rPr>
                <w:sz w:val="28"/>
                <w:szCs w:val="28"/>
              </w:rPr>
              <w:t>открытого конкурса</w:t>
            </w:r>
            <w:r w:rsidRPr="00DE6E5A">
              <w:rPr>
                <w:sz w:val="28"/>
                <w:szCs w:val="28"/>
              </w:rPr>
              <w:t xml:space="preserve"> на сайте ЭТЗП)</w:t>
            </w:r>
            <w:r w:rsidRPr="00DE6E5A">
              <w:rPr>
                <w:bCs/>
                <w:i/>
                <w:sz w:val="28"/>
                <w:szCs w:val="28"/>
              </w:rPr>
              <w:t>.</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Рассмотрение заявок осуществляется </w:t>
            </w:r>
            <w:r w:rsidR="00BE08B6" w:rsidRPr="00530F67">
              <w:rPr>
                <w:b/>
                <w:bCs/>
                <w:sz w:val="28"/>
                <w:szCs w:val="28"/>
              </w:rPr>
              <w:t>«</w:t>
            </w:r>
            <w:r w:rsidR="000C0F93" w:rsidRPr="00530F67">
              <w:rPr>
                <w:b/>
                <w:bCs/>
                <w:sz w:val="28"/>
                <w:szCs w:val="28"/>
              </w:rPr>
              <w:t>29</w:t>
            </w:r>
            <w:r w:rsidR="00BE08B6" w:rsidRPr="00530F67">
              <w:rPr>
                <w:b/>
                <w:bCs/>
                <w:sz w:val="28"/>
                <w:szCs w:val="28"/>
              </w:rPr>
              <w:t xml:space="preserve">» </w:t>
            </w:r>
            <w:r w:rsidR="00BE08B6" w:rsidRPr="00530F67">
              <w:rPr>
                <w:b/>
                <w:bCs/>
                <w:sz w:val="28"/>
                <w:szCs w:val="28"/>
              </w:rPr>
              <w:lastRenderedPageBreak/>
              <w:t>мая 2019 г.</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Подведение итогов </w:t>
            </w:r>
            <w:r w:rsidR="00BE08B6">
              <w:rPr>
                <w:bCs/>
                <w:sz w:val="28"/>
                <w:szCs w:val="28"/>
              </w:rPr>
              <w:t>открытого конкурса</w:t>
            </w:r>
            <w:r w:rsidRPr="00DE6E5A">
              <w:rPr>
                <w:bCs/>
                <w:sz w:val="28"/>
                <w:szCs w:val="28"/>
              </w:rPr>
              <w:t xml:space="preserve"> осуществляется </w:t>
            </w:r>
            <w:r w:rsidR="00BE08B6" w:rsidRPr="00530F67">
              <w:rPr>
                <w:b/>
                <w:bCs/>
                <w:sz w:val="28"/>
                <w:szCs w:val="28"/>
              </w:rPr>
              <w:t>«</w:t>
            </w:r>
            <w:r w:rsidR="000C0F93" w:rsidRPr="00530F67">
              <w:rPr>
                <w:b/>
                <w:bCs/>
                <w:sz w:val="28"/>
                <w:szCs w:val="28"/>
              </w:rPr>
              <w:t>30</w:t>
            </w:r>
            <w:r w:rsidR="00BE08B6" w:rsidRPr="00530F67">
              <w:rPr>
                <w:b/>
                <w:bCs/>
                <w:sz w:val="28"/>
                <w:szCs w:val="28"/>
              </w:rPr>
              <w:t>» мая 2019 года</w:t>
            </w:r>
            <w:r w:rsidRPr="00530F67">
              <w:rPr>
                <w:b/>
                <w:bCs/>
                <w:sz w:val="28"/>
                <w:szCs w:val="28"/>
              </w:rPr>
              <w:t>.</w:t>
            </w:r>
          </w:p>
          <w:p w:rsidR="005055B4" w:rsidRPr="00DE6E5A" w:rsidRDefault="005055B4" w:rsidP="005055B4">
            <w:pPr>
              <w:numPr>
                <w:ilvl w:val="0"/>
                <w:numId w:val="1"/>
              </w:numPr>
              <w:ind w:left="8" w:firstLine="0"/>
              <w:jc w:val="both"/>
              <w:rPr>
                <w:bCs/>
                <w:sz w:val="28"/>
                <w:szCs w:val="28"/>
              </w:rPr>
            </w:pPr>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p w:rsidR="005055B4" w:rsidRPr="00DE6E5A" w:rsidRDefault="005055B4" w:rsidP="005055B4">
            <w:pPr>
              <w:jc w:val="both"/>
              <w:rPr>
                <w:bCs/>
                <w:sz w:val="28"/>
                <w:szCs w:val="28"/>
              </w:rPr>
            </w:pPr>
          </w:p>
          <w:p w:rsidR="005055B4" w:rsidRPr="00DE6E5A" w:rsidRDefault="005055B4" w:rsidP="005055B4">
            <w:pPr>
              <w:jc w:val="both"/>
              <w:rPr>
                <w:bCs/>
                <w:sz w:val="28"/>
                <w:szCs w:val="28"/>
              </w:rPr>
            </w:pPr>
          </w:p>
        </w:tc>
        <w:bookmarkStart w:id="5" w:name="_GoBack"/>
        <w:bookmarkEnd w:id="5"/>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C7" w:rsidRDefault="00E73AC7">
      <w:r>
        <w:separator/>
      </w:r>
    </w:p>
  </w:endnote>
  <w:endnote w:type="continuationSeparator" w:id="0">
    <w:p w:rsidR="00E73AC7" w:rsidRDefault="00E73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00AC6"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C7" w:rsidRDefault="00E73AC7">
      <w:r>
        <w:separator/>
      </w:r>
    </w:p>
  </w:footnote>
  <w:footnote w:type="continuationSeparator" w:id="0">
    <w:p w:rsidR="00E73AC7" w:rsidRDefault="00E73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00AC6"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00AC6"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6E16FB">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6B21"/>
    <w:rsid w:val="000C0F93"/>
    <w:rsid w:val="000D79B1"/>
    <w:rsid w:val="00170469"/>
    <w:rsid w:val="00175AB3"/>
    <w:rsid w:val="00182934"/>
    <w:rsid w:val="001B0433"/>
    <w:rsid w:val="001E6DAB"/>
    <w:rsid w:val="001F1F05"/>
    <w:rsid w:val="001F7F1B"/>
    <w:rsid w:val="00232172"/>
    <w:rsid w:val="00240308"/>
    <w:rsid w:val="002A7402"/>
    <w:rsid w:val="002F1D9D"/>
    <w:rsid w:val="00310A99"/>
    <w:rsid w:val="00356021"/>
    <w:rsid w:val="003D7635"/>
    <w:rsid w:val="00407F2E"/>
    <w:rsid w:val="00444211"/>
    <w:rsid w:val="00447A76"/>
    <w:rsid w:val="004752B5"/>
    <w:rsid w:val="004C1EA2"/>
    <w:rsid w:val="005055B4"/>
    <w:rsid w:val="00512317"/>
    <w:rsid w:val="00530F67"/>
    <w:rsid w:val="00580F27"/>
    <w:rsid w:val="005A22FE"/>
    <w:rsid w:val="005B2EBD"/>
    <w:rsid w:val="005C3B70"/>
    <w:rsid w:val="005E0AE0"/>
    <w:rsid w:val="00600AC6"/>
    <w:rsid w:val="0060681D"/>
    <w:rsid w:val="0064650F"/>
    <w:rsid w:val="006676E8"/>
    <w:rsid w:val="00696935"/>
    <w:rsid w:val="006A4492"/>
    <w:rsid w:val="006A64A6"/>
    <w:rsid w:val="006C6042"/>
    <w:rsid w:val="006D7D15"/>
    <w:rsid w:val="006E16FB"/>
    <w:rsid w:val="006F002F"/>
    <w:rsid w:val="006F1872"/>
    <w:rsid w:val="006F3A5C"/>
    <w:rsid w:val="007350E9"/>
    <w:rsid w:val="00741BC8"/>
    <w:rsid w:val="007454B5"/>
    <w:rsid w:val="0077009B"/>
    <w:rsid w:val="00770CBE"/>
    <w:rsid w:val="007844D7"/>
    <w:rsid w:val="007C6A1D"/>
    <w:rsid w:val="007F338A"/>
    <w:rsid w:val="0085120F"/>
    <w:rsid w:val="00871F95"/>
    <w:rsid w:val="00891C1C"/>
    <w:rsid w:val="008A65A7"/>
    <w:rsid w:val="008F2259"/>
    <w:rsid w:val="00900767"/>
    <w:rsid w:val="00903CFA"/>
    <w:rsid w:val="0092449F"/>
    <w:rsid w:val="00924DAF"/>
    <w:rsid w:val="00926831"/>
    <w:rsid w:val="00935AD5"/>
    <w:rsid w:val="00940D80"/>
    <w:rsid w:val="009416A7"/>
    <w:rsid w:val="00980459"/>
    <w:rsid w:val="0098231C"/>
    <w:rsid w:val="009D5F5C"/>
    <w:rsid w:val="00A81A05"/>
    <w:rsid w:val="00AD4B91"/>
    <w:rsid w:val="00AD568D"/>
    <w:rsid w:val="00AE063E"/>
    <w:rsid w:val="00B03043"/>
    <w:rsid w:val="00B36CDB"/>
    <w:rsid w:val="00B6030F"/>
    <w:rsid w:val="00B81E46"/>
    <w:rsid w:val="00BB6CE7"/>
    <w:rsid w:val="00BE08B6"/>
    <w:rsid w:val="00C215CF"/>
    <w:rsid w:val="00C948BD"/>
    <w:rsid w:val="00D275AA"/>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9F3B-8C2A-437E-AA67-42F8CD70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EChalaya</cp:lastModifiedBy>
  <cp:revision>11</cp:revision>
  <cp:lastPrinted>2019-04-29T13:05:00Z</cp:lastPrinted>
  <dcterms:created xsi:type="dcterms:W3CDTF">2019-04-22T12:34:00Z</dcterms:created>
  <dcterms:modified xsi:type="dcterms:W3CDTF">2019-04-30T07:51:00Z</dcterms:modified>
</cp:coreProperties>
</file>