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EC49D4" w:rsidRDefault="007766B1" w:rsidP="007766B1">
      <w:pPr>
        <w:ind w:left="6237"/>
        <w:jc w:val="both"/>
      </w:pPr>
      <w:r w:rsidRPr="00EC49D4">
        <w:t>Приложен</w:t>
      </w:r>
      <w:r w:rsidR="004F1035" w:rsidRPr="00EC49D4">
        <w:t>ие № 1.1</w:t>
      </w:r>
    </w:p>
    <w:p w:rsidR="007766B1" w:rsidRPr="00EC49D4" w:rsidRDefault="004F1035" w:rsidP="007766B1">
      <w:pPr>
        <w:ind w:left="6237"/>
        <w:jc w:val="both"/>
      </w:pPr>
      <w:r w:rsidRPr="00EC49D4">
        <w:t xml:space="preserve">извещения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Pr="00EC49D4">
        <w:rPr>
          <w:szCs w:val="28"/>
        </w:rPr>
        <w:lastRenderedPageBreak/>
        <w:t xml:space="preserve">запросе котировок, оформленной в соответствии с </w:t>
      </w:r>
      <w:proofErr w:type="spellStart"/>
      <w:r w:rsidRPr="00EC49D4">
        <w:rPr>
          <w:szCs w:val="28"/>
        </w:rPr>
        <w:t>с</w:t>
      </w:r>
      <w:proofErr w:type="spell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которое(</w:t>
      </w:r>
      <w:proofErr w:type="spellStart"/>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w:t>
      </w:r>
      <w:r w:rsidRPr="00EC49D4">
        <w:rPr>
          <w:szCs w:val="28"/>
        </w:rPr>
        <w:lastRenderedPageBreak/>
        <w:t>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w:t>
      </w:r>
      <w:r w:rsidRPr="00EC49D4">
        <w:rPr>
          <w:rFonts w:eastAsia="Times New Roman"/>
          <w:bCs/>
          <w:sz w:val="28"/>
          <w:szCs w:val="28"/>
        </w:rPr>
        <w:lastRenderedPageBreak/>
        <w:t>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lastRenderedPageBreak/>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с </w:t>
      </w:r>
      <w:proofErr w:type="gramStart"/>
      <w:r w:rsidRPr="00EC49D4">
        <w:rPr>
          <w:rFonts w:eastAsia="MS Mincho"/>
          <w:sz w:val="28"/>
          <w:szCs w:val="28"/>
        </w:rPr>
        <w:t>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w:t>
      </w:r>
      <w:r w:rsidRPr="00EC49D4">
        <w:rPr>
          <w:sz w:val="28"/>
          <w:szCs w:val="28"/>
        </w:rPr>
        <w:lastRenderedPageBreak/>
        <w:t xml:space="preserve">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lastRenderedPageBreak/>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w:t>
      </w:r>
      <w:proofErr w:type="gramStart"/>
      <w:r w:rsidRPr="00EC49D4">
        <w:rPr>
          <w:sz w:val="28"/>
          <w:szCs w:val="28"/>
        </w:rPr>
        <w:t>и  поданы</w:t>
      </w:r>
      <w:proofErr w:type="gramEnd"/>
      <w:r w:rsidRPr="00EC49D4">
        <w:rPr>
          <w:sz w:val="28"/>
          <w:szCs w:val="28"/>
        </w:rPr>
        <w:t xml:space="preserve">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w:t>
      </w:r>
      <w:r w:rsidRPr="00EC49D4">
        <w:rPr>
          <w:sz w:val="28"/>
          <w:szCs w:val="28"/>
        </w:rPr>
        <w:lastRenderedPageBreak/>
        <w:t>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w:t>
      </w:r>
      <w:proofErr w:type="gramStart"/>
      <w:r w:rsidRPr="00EC49D4">
        <w:rPr>
          <w:sz w:val="28"/>
          <w:szCs w:val="28"/>
        </w:rPr>
        <w:t>во время</w:t>
      </w:r>
      <w:proofErr w:type="gramEnd"/>
      <w:r w:rsidRPr="00EC49D4">
        <w:rPr>
          <w:sz w:val="28"/>
          <w:szCs w:val="28"/>
        </w:rPr>
        <w:t xml:space="preserve">, месте,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По итогам вскрытия формируется протокол, который подлежит публикации на сайтах не позднее 3 (трех) дней с даты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В случае если на участие в запросе котировок не поступило ни одной заявки в протоколе вскрытия, который является итоговым </w:t>
      </w:r>
      <w:proofErr w:type="gramStart"/>
      <w:r w:rsidRPr="00EC49D4">
        <w:rPr>
          <w:sz w:val="28"/>
          <w:szCs w:val="28"/>
        </w:rPr>
        <w:t>протоколом,  указывается</w:t>
      </w:r>
      <w:proofErr w:type="gramEnd"/>
      <w:r w:rsidRPr="00EC49D4">
        <w:rPr>
          <w:sz w:val="28"/>
          <w:szCs w:val="28"/>
        </w:rPr>
        <w:t xml:space="preserve">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w:t>
      </w:r>
      <w:r w:rsidRPr="00EC49D4">
        <w:rPr>
          <w:rFonts w:eastAsia="MS Mincho"/>
          <w:sz w:val="28"/>
          <w:szCs w:val="28"/>
        </w:rPr>
        <w:lastRenderedPageBreak/>
        <w:t xml:space="preserve">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w:t>
      </w:r>
      <w:r w:rsidRPr="00EC49D4">
        <w:rPr>
          <w:sz w:val="28"/>
          <w:szCs w:val="28"/>
        </w:rPr>
        <w:lastRenderedPageBreak/>
        <w:t>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lastRenderedPageBreak/>
        <w:t>Протокол рассмотрения и оценки котировочных заявок размещается на сайтах не позднее 3 (трех) дней с даты подписания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w:t>
      </w:r>
      <w:r w:rsidRPr="00EC49D4">
        <w:rPr>
          <w:sz w:val="28"/>
          <w:szCs w:val="28"/>
        </w:rPr>
        <w:lastRenderedPageBreak/>
        <w:t xml:space="preserve">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lastRenderedPageBreak/>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заявку на участие в запросе котировок, заполненную в соответствии с формой 6.1 приложения № 6 извещения. При представлении </w:t>
      </w:r>
      <w:r w:rsidRPr="00EC49D4">
        <w:rPr>
          <w:sz w:val="28"/>
          <w:szCs w:val="28"/>
        </w:rPr>
        <w:lastRenderedPageBreak/>
        <w:t>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w:t>
      </w:r>
      <w:r w:rsidRPr="00EC49D4">
        <w:rPr>
          <w:sz w:val="28"/>
          <w:szCs w:val="28"/>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r>
      <w:r w:rsidRPr="00EC49D4">
        <w:rPr>
          <w:sz w:val="28"/>
          <w:szCs w:val="28"/>
        </w:rPr>
        <w:lastRenderedPageBreak/>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lastRenderedPageBreak/>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цену(ы) равную(</w:t>
      </w:r>
      <w:proofErr w:type="spellStart"/>
      <w:r w:rsidRPr="00EC49D4">
        <w:rPr>
          <w:sz w:val="28"/>
          <w:szCs w:val="28"/>
        </w:rPr>
        <w:t>ые</w:t>
      </w:r>
      <w:proofErr w:type="spellEnd"/>
      <w:r w:rsidRPr="00EC49D4">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w:t>
      </w:r>
      <w:r w:rsidR="004B1F83" w:rsidRPr="00EC49D4">
        <w:rPr>
          <w:sz w:val="28"/>
          <w:szCs w:val="28"/>
        </w:rPr>
        <w:lastRenderedPageBreak/>
        <w:t xml:space="preserve">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lastRenderedPageBreak/>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lastRenderedPageBreak/>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 xml:space="preserve">При проведении переторжки в заочной </w:t>
      </w:r>
      <w:proofErr w:type="gramStart"/>
      <w:r w:rsidRPr="00EC49D4">
        <w:rPr>
          <w:sz w:val="28"/>
          <w:szCs w:val="28"/>
        </w:rPr>
        <w:t>форме  на</w:t>
      </w:r>
      <w:proofErr w:type="gramEnd"/>
      <w:r w:rsidRPr="00EC49D4">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EC49D4">
        <w:rPr>
          <w:sz w:val="28"/>
          <w:szCs w:val="28"/>
        </w:rPr>
        <w:t>в порядке</w:t>
      </w:r>
      <w:proofErr w:type="gramEnd"/>
      <w:r w:rsidRPr="00EC49D4">
        <w:rPr>
          <w:sz w:val="28"/>
          <w:szCs w:val="28"/>
        </w:rPr>
        <w:t xml:space="preserve">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с предложениями </w:t>
      </w:r>
      <w:proofErr w:type="gramStart"/>
      <w:r w:rsidRPr="00EC49D4">
        <w:rPr>
          <w:sz w:val="28"/>
          <w:szCs w:val="28"/>
        </w:rPr>
        <w:t>для переторжке</w:t>
      </w:r>
      <w:proofErr w:type="gramEnd"/>
      <w:r w:rsidRPr="00EC49D4">
        <w:rPr>
          <w:sz w:val="28"/>
          <w:szCs w:val="28"/>
        </w:rPr>
        <w:t xml:space="preserve">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w:t>
      </w:r>
      <w:r w:rsidRPr="00EC49D4">
        <w:rPr>
          <w:sz w:val="28"/>
          <w:szCs w:val="28"/>
        </w:rPr>
        <w:lastRenderedPageBreak/>
        <w:t>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w:t>
      </w:r>
      <w:r w:rsidRPr="00EC49D4">
        <w:rPr>
          <w:sz w:val="28"/>
          <w:szCs w:val="28"/>
        </w:rPr>
        <w:lastRenderedPageBreak/>
        <w:t>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w:t>
      </w:r>
      <w:proofErr w:type="gramStart"/>
      <w:r w:rsidRPr="00EC49D4">
        <w:rPr>
          <w:sz w:val="28"/>
          <w:szCs w:val="28"/>
        </w:rPr>
        <w:t>),  представляются</w:t>
      </w:r>
      <w:proofErr w:type="gramEnd"/>
      <w:r w:rsidRPr="00EC49D4">
        <w:rPr>
          <w:sz w:val="28"/>
          <w:szCs w:val="28"/>
        </w:rPr>
        <w:t xml:space="preserve">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w:t>
      </w:r>
      <w:r w:rsidRPr="00EC49D4">
        <w:rPr>
          <w:sz w:val="28"/>
          <w:szCs w:val="28"/>
        </w:rPr>
        <w:lastRenderedPageBreak/>
        <w:t xml:space="preserve">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EC49D4">
        <w:rPr>
          <w:sz w:val="28"/>
          <w:szCs w:val="28"/>
        </w:rPr>
        <w:t>котировок  и</w:t>
      </w:r>
      <w:proofErr w:type="gramEnd"/>
      <w:r w:rsidRPr="00EC49D4">
        <w:rPr>
          <w:sz w:val="28"/>
          <w:szCs w:val="28"/>
        </w:rPr>
        <w:t xml:space="preserve">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sidRPr="00EC49D4">
        <w:rPr>
          <w:sz w:val="28"/>
          <w:szCs w:val="28"/>
        </w:rPr>
        <w:lastRenderedPageBreak/>
        <w:t>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lastRenderedPageBreak/>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lastRenderedPageBreak/>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содержащие информацию о месте регистрации (для юридических лиц и индивидуальных предпринимателей), документы, </w:t>
      </w:r>
      <w:r w:rsidRPr="00EC49D4">
        <w:rPr>
          <w:sz w:val="28"/>
          <w:szCs w:val="28"/>
        </w:rPr>
        <w:lastRenderedPageBreak/>
        <w:t>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непредставленными.</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xml:space="preserve">). Допускается сканирование </w:t>
      </w:r>
      <w:r w:rsidRPr="00EC49D4">
        <w:rPr>
          <w:sz w:val="28"/>
          <w:szCs w:val="28"/>
        </w:rPr>
        <w:lastRenderedPageBreak/>
        <w:t>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lastRenderedPageBreak/>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w:t>
      </w:r>
      <w:r w:rsidRPr="00EC49D4">
        <w:rPr>
          <w:sz w:val="28"/>
          <w:szCs w:val="28"/>
        </w:rPr>
        <w:lastRenderedPageBreak/>
        <w:t>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если маркировка конверта не соответствует требованиям извещения, конверт(ы) не запечатан(ы), котировочная </w:t>
      </w:r>
      <w:proofErr w:type="gramStart"/>
      <w:r w:rsidRPr="00EC49D4">
        <w:rPr>
          <w:sz w:val="28"/>
          <w:szCs w:val="28"/>
        </w:rPr>
        <w:t>заявка  (</w:t>
      </w:r>
      <w:proofErr w:type="gramEnd"/>
      <w:r w:rsidRPr="00EC49D4">
        <w:rPr>
          <w:sz w:val="28"/>
          <w:szCs w:val="28"/>
        </w:rPr>
        <w:t xml:space="preserve">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w:t>
      </w:r>
      <w:r w:rsidRPr="00EC49D4">
        <w:rPr>
          <w:sz w:val="28"/>
          <w:szCs w:val="28"/>
        </w:rPr>
        <w:lastRenderedPageBreak/>
        <w:t>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w:t>
      </w:r>
      <w:r w:rsidRPr="00EC49D4">
        <w:rPr>
          <w:szCs w:val="28"/>
        </w:rPr>
        <w:lastRenderedPageBreak/>
        <w:t>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обеспечение заявки считается непредставленным.</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вскрытия заявок – лицам, не представившим заявку или участникам, не представившим электронную часть заявки (при </w:t>
      </w:r>
      <w:r w:rsidRPr="00EC49D4">
        <w:rPr>
          <w:sz w:val="28"/>
          <w:szCs w:val="28"/>
        </w:rPr>
        <w:lastRenderedPageBreak/>
        <w:t>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lastRenderedPageBreak/>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 xml:space="preserve">(с указанием </w:t>
      </w:r>
      <w:r w:rsidRPr="00EC49D4">
        <w:rPr>
          <w:rFonts w:eastAsia="MS Mincho"/>
          <w:bCs/>
          <w:sz w:val="28"/>
          <w:szCs w:val="28"/>
        </w:rPr>
        <w:lastRenderedPageBreak/>
        <w:t>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EC49D4">
        <w:rPr>
          <w:b w:val="0"/>
          <w:i w:val="0"/>
        </w:rPr>
        <w:t>виде  оригинала</w:t>
      </w:r>
      <w:proofErr w:type="gramEnd"/>
      <w:r w:rsidRPr="00EC49D4">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w:t>
      </w:r>
      <w:r w:rsidRPr="00EC49D4">
        <w:rPr>
          <w:sz w:val="28"/>
          <w:szCs w:val="28"/>
        </w:rPr>
        <w:lastRenderedPageBreak/>
        <w:t>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 xml:space="preserve">В случае применения антидемпинговой меры, предусматривающей предоставление обеспечения исполнения договора в размере, превышающей в </w:t>
      </w:r>
      <w:r w:rsidRPr="00EC49D4">
        <w:rPr>
          <w:sz w:val="28"/>
          <w:szCs w:val="28"/>
        </w:rPr>
        <w:lastRenderedPageBreak/>
        <w:t>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 xml:space="preserve">платежным поручением, подтверждающим перечисление </w:t>
      </w:r>
      <w:r w:rsidRPr="00EC49D4">
        <w:rPr>
          <w:sz w:val="28"/>
          <w:szCs w:val="28"/>
        </w:rPr>
        <w:lastRenderedPageBreak/>
        <w:t>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w:t>
      </w:r>
      <w:r w:rsidRPr="00EC49D4">
        <w:rPr>
          <w:bCs/>
          <w:sz w:val="28"/>
          <w:szCs w:val="28"/>
        </w:rPr>
        <w:lastRenderedPageBreak/>
        <w:t xml:space="preserve">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указанным в пункте 3.25.8 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w:t>
      </w:r>
      <w:r w:rsidRPr="00EC49D4">
        <w:rPr>
          <w:sz w:val="28"/>
          <w:szCs w:val="28"/>
        </w:rPr>
        <w:lastRenderedPageBreak/>
        <w:t xml:space="preserve">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w:t>
      </w:r>
      <w:r w:rsidRPr="00EC49D4">
        <w:rPr>
          <w:sz w:val="28"/>
          <w:szCs w:val="28"/>
        </w:rPr>
        <w:lastRenderedPageBreak/>
        <w:t>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firstRow="0" w:lastRow="0" w:firstColumn="0" w:lastColumn="0" w:noHBand="0" w:noVBand="0"/>
      </w:tblPr>
      <w:tblGrid>
        <w:gridCol w:w="4645"/>
        <w:gridCol w:w="4710"/>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 xml:space="preserve">Требования к банкам, чьи гарантии </w:t>
      </w:r>
      <w:r w:rsidR="009D7058">
        <w:rPr>
          <w:sz w:val="28"/>
          <w:szCs w:val="28"/>
        </w:rPr>
        <w:t>АО «ППК «Черноземье»</w:t>
      </w:r>
      <w:r w:rsidRPr="00EC49D4">
        <w:rPr>
          <w:sz w:val="28"/>
          <w:szCs w:val="28"/>
        </w:rPr>
        <w:t xml:space="preserve">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w:t>
      </w:r>
    </w:p>
    <w:tbl>
      <w:tblPr>
        <w:tblW w:w="4944" w:type="pct"/>
        <w:tblLook w:val="00A0" w:firstRow="1" w:lastRow="0" w:firstColumn="1" w:lastColumn="0" w:noHBand="0" w:noVBand="0"/>
      </w:tblPr>
      <w:tblGrid>
        <w:gridCol w:w="660"/>
        <w:gridCol w:w="8580"/>
      </w:tblGrid>
      <w:tr w:rsidR="005F105D" w:rsidRPr="007B2129" w:rsidTr="000A198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5F105D" w:rsidRPr="007B2129" w:rsidRDefault="005F105D" w:rsidP="000A198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5F105D" w:rsidRPr="007B2129" w:rsidRDefault="005F105D" w:rsidP="000A1986">
            <w:pPr>
              <w:jc w:val="center"/>
              <w:rPr>
                <w:b/>
                <w:bCs/>
                <w:sz w:val="28"/>
                <w:szCs w:val="28"/>
              </w:rPr>
            </w:pPr>
            <w:r w:rsidRPr="007B2129">
              <w:rPr>
                <w:b/>
                <w:bCs/>
                <w:sz w:val="28"/>
                <w:szCs w:val="28"/>
              </w:rPr>
              <w:t>Банк</w:t>
            </w:r>
          </w:p>
        </w:tc>
      </w:tr>
      <w:tr w:rsidR="005F105D" w:rsidRPr="007B2129" w:rsidTr="000A198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5F105D" w:rsidRPr="007B2129" w:rsidRDefault="005F105D" w:rsidP="000A198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5F105D" w:rsidRPr="007B2129" w:rsidRDefault="005F105D" w:rsidP="000A1986">
            <w:pPr>
              <w:rPr>
                <w:b/>
                <w:bCs/>
                <w:sz w:val="28"/>
                <w:szCs w:val="28"/>
              </w:rPr>
            </w:pP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Сбербанк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Банк ВТБ (ПАО)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Банк ГПБ (АО)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"АЛЬФА-БАНК"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Банк "ФК Открытие"</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"Московский Кредитный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АКБ "Абсолют Банк" (ПАО)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"Райффайзенбанк"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Банк "ВБРР" (АО)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РОСБАНК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АБ "РОССИЯ"</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"АК БАРС"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lastRenderedPageBreak/>
              <w:t>15</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w:t>
            </w:r>
            <w:proofErr w:type="spellStart"/>
            <w:r w:rsidRPr="00B70A0C">
              <w:rPr>
                <w:color w:val="000000"/>
                <w:sz w:val="28"/>
                <w:szCs w:val="28"/>
              </w:rPr>
              <w:t>Совкомбанк</w:t>
            </w:r>
            <w:proofErr w:type="spellEnd"/>
            <w:r w:rsidRPr="00B70A0C">
              <w:rPr>
                <w:color w:val="000000"/>
                <w:sz w:val="28"/>
                <w:szCs w:val="28"/>
              </w:rPr>
              <w:t>"</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"Банк "Санкт-Петербург"</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ПАО АКБ "Связь-Банк"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АКБ "НОВИКОМБАНК"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"СМП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5F105D" w:rsidRPr="00B70A0C" w:rsidRDefault="005F105D" w:rsidP="000A1986">
            <w:pPr>
              <w:ind w:left="38"/>
              <w:rPr>
                <w:color w:val="000000"/>
                <w:sz w:val="28"/>
                <w:szCs w:val="28"/>
              </w:rPr>
            </w:pPr>
            <w:r w:rsidRPr="00B70A0C">
              <w:rPr>
                <w:color w:val="000000"/>
                <w:sz w:val="28"/>
                <w:szCs w:val="28"/>
              </w:rPr>
              <w:t>АО "МСП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5F105D" w:rsidRPr="00B70A0C" w:rsidRDefault="005F105D" w:rsidP="000A1986">
            <w:pPr>
              <w:ind w:left="38"/>
              <w:rPr>
                <w:color w:val="000000"/>
                <w:sz w:val="28"/>
                <w:szCs w:val="28"/>
              </w:rPr>
            </w:pPr>
            <w:r w:rsidRPr="00B70A0C">
              <w:rPr>
                <w:color w:val="000000"/>
                <w:sz w:val="28"/>
                <w:szCs w:val="28"/>
              </w:rPr>
              <w:t>АО "КОММЕРЦБАНК (ЕВРАЗИЯ)"</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АО "Банк Интеза"</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КБ "ЛОКО-Банк" (АО)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ООО "</w:t>
            </w:r>
            <w:proofErr w:type="spellStart"/>
            <w:r w:rsidRPr="00B70A0C">
              <w:rPr>
                <w:color w:val="000000"/>
                <w:sz w:val="28"/>
                <w:szCs w:val="28"/>
              </w:rPr>
              <w:t>Чайна</w:t>
            </w:r>
            <w:proofErr w:type="spellEnd"/>
            <w:r w:rsidRPr="00B70A0C">
              <w:rPr>
                <w:color w:val="000000"/>
                <w:sz w:val="28"/>
                <w:szCs w:val="28"/>
              </w:rPr>
              <w:t xml:space="preserve"> </w:t>
            </w:r>
            <w:proofErr w:type="spellStart"/>
            <w:r w:rsidRPr="00B70A0C">
              <w:rPr>
                <w:color w:val="000000"/>
                <w:sz w:val="28"/>
                <w:szCs w:val="28"/>
              </w:rPr>
              <w:t>Констракшн</w:t>
            </w:r>
            <w:proofErr w:type="spellEnd"/>
            <w:r w:rsidRPr="00B70A0C">
              <w:rPr>
                <w:color w:val="000000"/>
                <w:sz w:val="28"/>
                <w:szCs w:val="28"/>
              </w:rPr>
              <w:t xml:space="preserve"> Банк"</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proofErr w:type="spellStart"/>
            <w:r w:rsidRPr="00B70A0C">
              <w:rPr>
                <w:color w:val="000000"/>
                <w:sz w:val="28"/>
                <w:szCs w:val="28"/>
              </w:rPr>
              <w:t>АйСиБиСи</w:t>
            </w:r>
            <w:proofErr w:type="spellEnd"/>
            <w:r w:rsidRPr="00B70A0C">
              <w:rPr>
                <w:color w:val="000000"/>
                <w:sz w:val="28"/>
                <w:szCs w:val="28"/>
              </w:rPr>
              <w:t xml:space="preserve"> Банк (АО)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ТКБ БАНК ПАО</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ООО "</w:t>
            </w:r>
            <w:proofErr w:type="spellStart"/>
            <w:r w:rsidRPr="00B70A0C">
              <w:rPr>
                <w:color w:val="000000"/>
                <w:sz w:val="28"/>
                <w:szCs w:val="28"/>
              </w:rPr>
              <w:t>Унифондбанк</w:t>
            </w:r>
            <w:proofErr w:type="spellEnd"/>
            <w:r w:rsidRPr="00B70A0C">
              <w:rPr>
                <w:color w:val="000000"/>
                <w:sz w:val="28"/>
                <w:szCs w:val="28"/>
              </w:rPr>
              <w:t>"</w:t>
            </w:r>
          </w:p>
        </w:tc>
      </w:tr>
      <w:tr w:rsidR="005F105D" w:rsidRPr="00B70A0C" w:rsidTr="000A1986">
        <w:trPr>
          <w:trHeight w:val="20"/>
        </w:trPr>
        <w:tc>
          <w:tcPr>
            <w:tcW w:w="357" w:type="pct"/>
            <w:tcBorders>
              <w:top w:val="nil"/>
              <w:left w:val="single" w:sz="4" w:space="0" w:color="auto"/>
              <w:bottom w:val="single" w:sz="4" w:space="0" w:color="auto"/>
              <w:right w:val="single" w:sz="4" w:space="0" w:color="auto"/>
            </w:tcBorders>
            <w:noWrap/>
            <w:vAlign w:val="center"/>
          </w:tcPr>
          <w:p w:rsidR="005F105D" w:rsidRDefault="005F105D" w:rsidP="000A1986">
            <w:pPr>
              <w:jc w:val="center"/>
              <w:rPr>
                <w:color w:val="000000"/>
                <w:sz w:val="28"/>
                <w:szCs w:val="28"/>
              </w:rPr>
            </w:pPr>
            <w:r>
              <w:rPr>
                <w:color w:val="000000"/>
                <w:sz w:val="28"/>
                <w:szCs w:val="28"/>
              </w:rPr>
              <w:t>28</w:t>
            </w:r>
          </w:p>
        </w:tc>
        <w:tc>
          <w:tcPr>
            <w:tcW w:w="4643" w:type="pct"/>
            <w:tcBorders>
              <w:top w:val="nil"/>
              <w:left w:val="nil"/>
              <w:bottom w:val="single" w:sz="4" w:space="0" w:color="auto"/>
              <w:right w:val="single" w:sz="4" w:space="0" w:color="auto"/>
            </w:tcBorders>
            <w:vAlign w:val="center"/>
          </w:tcPr>
          <w:p w:rsidR="005F105D" w:rsidRPr="00B70A0C" w:rsidRDefault="005F105D" w:rsidP="000A1986">
            <w:pPr>
              <w:ind w:left="38"/>
              <w:rPr>
                <w:color w:val="000000"/>
                <w:sz w:val="28"/>
                <w:szCs w:val="28"/>
              </w:rPr>
            </w:pPr>
            <w:r w:rsidRPr="00B70A0C">
              <w:rPr>
                <w:color w:val="000000"/>
                <w:sz w:val="28"/>
                <w:szCs w:val="28"/>
              </w:rPr>
              <w:t>ООО "</w:t>
            </w:r>
            <w:proofErr w:type="spellStart"/>
            <w:r w:rsidRPr="00B70A0C">
              <w:rPr>
                <w:color w:val="000000"/>
                <w:sz w:val="28"/>
                <w:szCs w:val="28"/>
              </w:rPr>
              <w:t>Экспобанк</w:t>
            </w:r>
            <w:proofErr w:type="spellEnd"/>
            <w:r w:rsidRPr="00B70A0C">
              <w:rPr>
                <w:color w:val="000000"/>
                <w:sz w:val="28"/>
                <w:szCs w:val="28"/>
              </w:rPr>
              <w:t>"</w:t>
            </w:r>
          </w:p>
        </w:tc>
      </w:tr>
      <w:tr w:rsidR="005F105D" w:rsidRPr="0006324A" w:rsidTr="000A198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105D" w:rsidRPr="00086C4C" w:rsidRDefault="005F105D" w:rsidP="000A1986">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5F105D" w:rsidRPr="0006324A" w:rsidRDefault="005F105D" w:rsidP="000A1986">
            <w:pPr>
              <w:ind w:left="38"/>
              <w:rPr>
                <w:color w:val="000000"/>
                <w:sz w:val="28"/>
                <w:szCs w:val="28"/>
              </w:rPr>
            </w:pPr>
            <w:r w:rsidRPr="007C6DA7">
              <w:rPr>
                <w:color w:val="000000"/>
                <w:sz w:val="28"/>
                <w:szCs w:val="28"/>
              </w:rPr>
              <w:t>ИНТЕРПРОГРЕССБАНК АО</w:t>
            </w:r>
          </w:p>
        </w:tc>
      </w:tr>
      <w:tr w:rsidR="005F105D" w:rsidRPr="007C6DA7" w:rsidTr="000A198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F105D" w:rsidRDefault="005F105D" w:rsidP="000A1986">
            <w:pPr>
              <w:jc w:val="center"/>
              <w:rPr>
                <w:color w:val="000000"/>
                <w:sz w:val="28"/>
                <w:szCs w:val="28"/>
              </w:rPr>
            </w:pPr>
            <w:r>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5F105D" w:rsidRPr="007C6DA7" w:rsidRDefault="005F105D" w:rsidP="000A1986">
            <w:pPr>
              <w:ind w:left="38"/>
              <w:rPr>
                <w:color w:val="000000"/>
                <w:sz w:val="28"/>
                <w:szCs w:val="28"/>
              </w:rPr>
            </w:pPr>
            <w:r w:rsidRPr="00B918C7">
              <w:rPr>
                <w:color w:val="000000"/>
                <w:sz w:val="28"/>
                <w:szCs w:val="28"/>
              </w:rPr>
              <w:t>ПАО КБ «Восточный»</w:t>
            </w:r>
          </w:p>
        </w:tc>
      </w:tr>
    </w:tbl>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 xml:space="preserve">чьи гарантии </w:t>
      </w:r>
      <w:r w:rsidR="009D7058">
        <w:rPr>
          <w:sz w:val="28"/>
          <w:szCs w:val="28"/>
        </w:rPr>
        <w:t>АО «ППК «Черноземье»</w:t>
      </w:r>
      <w:r w:rsidRPr="00EC49D4">
        <w:rPr>
          <w:sz w:val="28"/>
          <w:szCs w:val="28"/>
        </w:rPr>
        <w:t xml:space="preserve">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ОАО «РЖД»). </w:t>
      </w:r>
    </w:p>
    <w:p w:rsidR="00606F87" w:rsidRPr="00EC49D4" w:rsidRDefault="00606F87" w:rsidP="00606F87">
      <w:pPr>
        <w:pStyle w:val="a4"/>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8580"/>
      </w:tblGrid>
      <w:tr w:rsidR="005F105D" w:rsidRPr="00855A73" w:rsidTr="000A1986">
        <w:trPr>
          <w:trHeight w:val="375"/>
        </w:trPr>
        <w:tc>
          <w:tcPr>
            <w:tcW w:w="357" w:type="pct"/>
            <w:vMerge w:val="restart"/>
            <w:noWrap/>
            <w:vAlign w:val="center"/>
          </w:tcPr>
          <w:p w:rsidR="005F105D" w:rsidRPr="00855A73" w:rsidRDefault="005F105D" w:rsidP="000A1986">
            <w:pPr>
              <w:jc w:val="center"/>
              <w:rPr>
                <w:b/>
                <w:bCs/>
                <w:sz w:val="28"/>
                <w:szCs w:val="28"/>
              </w:rPr>
            </w:pPr>
            <w:r w:rsidRPr="00855A73">
              <w:rPr>
                <w:b/>
                <w:bCs/>
                <w:sz w:val="28"/>
                <w:szCs w:val="28"/>
              </w:rPr>
              <w:t>№</w:t>
            </w:r>
          </w:p>
        </w:tc>
        <w:tc>
          <w:tcPr>
            <w:tcW w:w="4643" w:type="pct"/>
            <w:vMerge w:val="restart"/>
            <w:noWrap/>
            <w:vAlign w:val="center"/>
          </w:tcPr>
          <w:p w:rsidR="005F105D" w:rsidRPr="00855A73" w:rsidRDefault="005F105D" w:rsidP="000A1986">
            <w:pPr>
              <w:jc w:val="center"/>
              <w:rPr>
                <w:b/>
                <w:bCs/>
                <w:sz w:val="28"/>
                <w:szCs w:val="28"/>
              </w:rPr>
            </w:pPr>
            <w:r w:rsidRPr="00855A73">
              <w:rPr>
                <w:b/>
                <w:bCs/>
                <w:sz w:val="28"/>
                <w:szCs w:val="28"/>
              </w:rPr>
              <w:t>Банк</w:t>
            </w:r>
          </w:p>
        </w:tc>
      </w:tr>
      <w:tr w:rsidR="005F105D" w:rsidRPr="00855A73" w:rsidTr="000A1986">
        <w:trPr>
          <w:trHeight w:val="330"/>
        </w:trPr>
        <w:tc>
          <w:tcPr>
            <w:tcW w:w="357" w:type="pct"/>
            <w:vMerge/>
            <w:vAlign w:val="center"/>
          </w:tcPr>
          <w:p w:rsidR="005F105D" w:rsidRPr="00855A73" w:rsidRDefault="005F105D" w:rsidP="000A1986">
            <w:pPr>
              <w:rPr>
                <w:b/>
                <w:bCs/>
                <w:sz w:val="28"/>
                <w:szCs w:val="28"/>
              </w:rPr>
            </w:pPr>
          </w:p>
        </w:tc>
        <w:tc>
          <w:tcPr>
            <w:tcW w:w="4643" w:type="pct"/>
            <w:vMerge/>
            <w:vAlign w:val="center"/>
          </w:tcPr>
          <w:p w:rsidR="005F105D" w:rsidRPr="00855A73" w:rsidRDefault="005F105D" w:rsidP="000A1986">
            <w:pPr>
              <w:rPr>
                <w:b/>
                <w:bCs/>
                <w:sz w:val="28"/>
                <w:szCs w:val="28"/>
              </w:rPr>
            </w:pP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1</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ПАО Сбербанк</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2</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Банк ВТБ (ПАО)</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3</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Банк ГПБ (АО)</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4</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5</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АО "АЛЬФА-БАНК"</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6</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7</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ПАО Банк "ФК Открытие"</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8</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ПАО "Московский Кредитный Банк"</w:t>
            </w:r>
          </w:p>
        </w:tc>
      </w:tr>
      <w:tr w:rsidR="005F105D" w:rsidRPr="00B70A0C"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9</w:t>
            </w:r>
          </w:p>
        </w:tc>
        <w:tc>
          <w:tcPr>
            <w:tcW w:w="4643" w:type="pct"/>
            <w:vAlign w:val="center"/>
          </w:tcPr>
          <w:p w:rsidR="005F105D" w:rsidRPr="00B70A0C" w:rsidRDefault="005F105D" w:rsidP="000A1986">
            <w:pPr>
              <w:ind w:left="38"/>
              <w:rPr>
                <w:color w:val="000000"/>
                <w:sz w:val="28"/>
                <w:szCs w:val="28"/>
              </w:rPr>
            </w:pPr>
            <w:r w:rsidRPr="00B70A0C">
              <w:rPr>
                <w:color w:val="000000"/>
                <w:sz w:val="28"/>
                <w:szCs w:val="28"/>
              </w:rPr>
              <w:t>АО "Райффайзенбанк"</w:t>
            </w:r>
          </w:p>
        </w:tc>
      </w:tr>
      <w:tr w:rsidR="005F105D" w:rsidRPr="00103BA7" w:rsidTr="000A1986">
        <w:trPr>
          <w:trHeight w:val="20"/>
        </w:trPr>
        <w:tc>
          <w:tcPr>
            <w:tcW w:w="357" w:type="pct"/>
            <w:noWrap/>
          </w:tcPr>
          <w:p w:rsidR="005F105D" w:rsidRPr="00855A73" w:rsidRDefault="005F105D" w:rsidP="000A1986">
            <w:pPr>
              <w:ind w:left="142"/>
              <w:jc w:val="right"/>
              <w:rPr>
                <w:sz w:val="28"/>
                <w:szCs w:val="28"/>
              </w:rPr>
            </w:pPr>
            <w:r w:rsidRPr="00855A73">
              <w:rPr>
                <w:sz w:val="28"/>
                <w:szCs w:val="28"/>
              </w:rPr>
              <w:t>10</w:t>
            </w:r>
          </w:p>
        </w:tc>
        <w:tc>
          <w:tcPr>
            <w:tcW w:w="4643" w:type="pct"/>
            <w:vAlign w:val="center"/>
          </w:tcPr>
          <w:p w:rsidR="005F105D" w:rsidRPr="00103BA7" w:rsidRDefault="005F105D" w:rsidP="000A1986">
            <w:pPr>
              <w:ind w:left="38"/>
              <w:rPr>
                <w:color w:val="000000"/>
                <w:sz w:val="28"/>
                <w:szCs w:val="28"/>
              </w:rPr>
            </w:pPr>
            <w:r w:rsidRPr="00103BA7">
              <w:rPr>
                <w:color w:val="000000"/>
                <w:sz w:val="28"/>
                <w:szCs w:val="28"/>
              </w:rPr>
              <w:t>АКБ "Абсолют Банк" (ПАО)</w:t>
            </w:r>
          </w:p>
        </w:tc>
      </w:tr>
      <w:tr w:rsidR="005F105D" w:rsidRPr="00103BA7" w:rsidTr="000A1986">
        <w:trPr>
          <w:trHeight w:val="20"/>
        </w:trPr>
        <w:tc>
          <w:tcPr>
            <w:tcW w:w="357" w:type="pct"/>
            <w:noWrap/>
          </w:tcPr>
          <w:p w:rsidR="005F105D" w:rsidRPr="00855A73" w:rsidRDefault="005F105D" w:rsidP="000A1986">
            <w:pPr>
              <w:ind w:left="142"/>
              <w:jc w:val="right"/>
              <w:rPr>
                <w:sz w:val="28"/>
                <w:szCs w:val="28"/>
              </w:rPr>
            </w:pPr>
            <w:r>
              <w:rPr>
                <w:sz w:val="28"/>
                <w:szCs w:val="28"/>
              </w:rPr>
              <w:t>11</w:t>
            </w:r>
          </w:p>
        </w:tc>
        <w:tc>
          <w:tcPr>
            <w:tcW w:w="4643" w:type="pct"/>
            <w:vAlign w:val="center"/>
          </w:tcPr>
          <w:p w:rsidR="005F105D" w:rsidRPr="00103BA7" w:rsidRDefault="005F105D" w:rsidP="000A1986">
            <w:pPr>
              <w:ind w:left="38"/>
              <w:rPr>
                <w:color w:val="000000"/>
                <w:sz w:val="28"/>
                <w:szCs w:val="28"/>
              </w:rPr>
            </w:pPr>
            <w:r w:rsidRPr="00B70A0C">
              <w:rPr>
                <w:color w:val="000000"/>
                <w:sz w:val="28"/>
                <w:szCs w:val="28"/>
              </w:rPr>
              <w:t>АО "МСП Банк"</w:t>
            </w:r>
          </w:p>
        </w:tc>
      </w:tr>
    </w:tbl>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w:t>
      </w:r>
      <w:bookmarkStart w:id="0" w:name="_GoBack"/>
      <w:bookmarkEnd w:id="0"/>
      <w:r w:rsidRPr="00EC49D4">
        <w:rPr>
          <w:rFonts w:eastAsia="Times New Roman"/>
          <w:bCs/>
          <w:sz w:val="28"/>
          <w:szCs w:val="28"/>
        </w:rPr>
        <w:t xml:space="preserve">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lastRenderedPageBreak/>
        <w:t xml:space="preserve">Обращение о согласовании банка рассматривается в течение 5 (пяти) рабочих дней с даты получения обращения. 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firstRow="0" w:lastRow="0" w:firstColumn="0" w:lastColumn="0" w:noHBand="0" w:noVBand="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w:t>
      </w:r>
      <w:proofErr w:type="gramStart"/>
      <w:r w:rsidRPr="00EC49D4">
        <w:rPr>
          <w:szCs w:val="28"/>
        </w:rPr>
        <w:t>_(</w:t>
      </w:r>
      <w:proofErr w:type="gramEnd"/>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 xml:space="preserve">(применимо если условиями закупки установлено </w:t>
      </w:r>
      <w:r w:rsidRPr="00EC49D4">
        <w:rPr>
          <w:sz w:val="28"/>
          <w:szCs w:val="28"/>
        </w:rPr>
        <w:lastRenderedPageBreak/>
        <w:t>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  указывается</w:t>
      </w:r>
      <w:proofErr w:type="gramEnd"/>
      <w:r w:rsidRPr="00EC49D4">
        <w:rPr>
          <w:rFonts w:eastAsia="Times New Roman"/>
          <w:i/>
          <w:sz w:val="28"/>
          <w:u w:val="single"/>
        </w:rPr>
        <w:t xml:space="preserve">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firstRow="0" w:lastRow="0" w:firstColumn="0" w:lastColumn="0" w:noHBand="0" w:noVBand="0"/>
      </w:tblPr>
      <w:tblGrid>
        <w:gridCol w:w="4636"/>
        <w:gridCol w:w="4719"/>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п/п</w:t>
            </w:r>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firstRow="1" w:lastRow="1" w:firstColumn="1" w:lastColumn="1" w:noHBand="0" w:noVBand="0"/>
      </w:tblPr>
      <w:tblGrid>
        <w:gridCol w:w="4659"/>
        <w:gridCol w:w="469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lastRenderedPageBreak/>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EC49D4">
              <w:rPr>
                <w:sz w:val="24"/>
                <w:szCs w:val="22"/>
              </w:rPr>
              <w:t>),почтовый</w:t>
            </w:r>
            <w:proofErr w:type="gramEnd"/>
            <w:r w:rsidRPr="00EC49D4">
              <w:rPr>
                <w:sz w:val="24"/>
                <w:szCs w:val="22"/>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xml:space="preserve">(№, сведения о дате выдачи документа и </w:t>
      </w:r>
      <w:proofErr w:type="gramStart"/>
      <w:r w:rsidRPr="00EC49D4">
        <w:rPr>
          <w:i/>
          <w:sz w:val="28"/>
          <w:szCs w:val="28"/>
        </w:rPr>
        <w:t>выдавшем  его</w:t>
      </w:r>
      <w:proofErr w:type="gramEnd"/>
      <w:r w:rsidRPr="00EC49D4">
        <w:rPr>
          <w:i/>
          <w:sz w:val="28"/>
          <w:szCs w:val="28"/>
        </w:rPr>
        <w:t xml:space="preserve">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sidRPr="00EC49D4">
              <w:rPr>
                <w:sz w:val="24"/>
                <w:szCs w:val="22"/>
              </w:rPr>
              <w:lastRenderedPageBreak/>
              <w:t>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EC49D4">
              <w:rPr>
                <w:sz w:val="24"/>
                <w:szCs w:val="22"/>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ОКВЭД2</w:t>
              </w:r>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исполнительного органа, главный </w:t>
            </w:r>
            <w:r w:rsidRPr="00EC49D4">
              <w:rPr>
                <w:sz w:val="24"/>
                <w:szCs w:val="22"/>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1E" w:rsidRDefault="00736F1E" w:rsidP="00033DA1">
      <w:r>
        <w:separator/>
      </w:r>
    </w:p>
  </w:endnote>
  <w:endnote w:type="continuationSeparator" w:id="0">
    <w:p w:rsidR="00736F1E" w:rsidRDefault="00736F1E"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1E" w:rsidRDefault="00736F1E" w:rsidP="00033DA1">
      <w:r>
        <w:separator/>
      </w:r>
    </w:p>
  </w:footnote>
  <w:footnote w:type="continuationSeparator" w:id="0">
    <w:p w:rsidR="00736F1E" w:rsidRDefault="00736F1E"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E2422"/>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F105D"/>
    <w:rsid w:val="005F27D4"/>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703BDF"/>
    <w:rsid w:val="0071046E"/>
    <w:rsid w:val="0071340F"/>
    <w:rsid w:val="00725D06"/>
    <w:rsid w:val="007350BE"/>
    <w:rsid w:val="00736F1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3638"/>
    <w:rsid w:val="008A5283"/>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D7058"/>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33C4"/>
    <w:rsid w:val="00D15335"/>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F139-B8DA-4FAA-9C9C-1FFDDA7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Заголовок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25297</Words>
  <Characters>144194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3</cp:revision>
  <cp:lastPrinted>2018-11-06T11:46:00Z</cp:lastPrinted>
  <dcterms:created xsi:type="dcterms:W3CDTF">2019-02-28T08:46:00Z</dcterms:created>
  <dcterms:modified xsi:type="dcterms:W3CDTF">2019-02-28T08:47:00Z</dcterms:modified>
</cp:coreProperties>
</file>