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15" w:rsidRPr="00DE6E5A" w:rsidRDefault="006D7D15" w:rsidP="006D7D15">
      <w:pPr>
        <w:pStyle w:val="11"/>
        <w:ind w:firstLine="0"/>
        <w:jc w:val="center"/>
        <w:rPr>
          <w:rFonts w:eastAsia="MS Mincho"/>
          <w:b/>
          <w:szCs w:val="28"/>
        </w:rPr>
      </w:pPr>
      <w:bookmarkStart w:id="0" w:name="_Toc515863120"/>
    </w:p>
    <w:p w:rsidR="00D275AA" w:rsidRPr="00DE6E5A" w:rsidRDefault="00D275AA" w:rsidP="00DE6E5A">
      <w:pPr>
        <w:pStyle w:val="11"/>
        <w:ind w:left="4962" w:firstLine="0"/>
        <w:jc w:val="left"/>
        <w:rPr>
          <w:bCs/>
          <w:i/>
          <w:szCs w:val="28"/>
        </w:rPr>
      </w:pPr>
    </w:p>
    <w:p w:rsidR="009416A7" w:rsidRPr="00DE6E5A" w:rsidRDefault="009416A7"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5055B4" w:rsidRPr="006E16FB" w:rsidRDefault="005055B4" w:rsidP="005055B4">
      <w:pPr>
        <w:jc w:val="center"/>
        <w:rPr>
          <w:bCs/>
          <w:sz w:val="28"/>
          <w:szCs w:val="28"/>
        </w:rPr>
      </w:pPr>
      <w:r w:rsidRPr="006E16FB">
        <w:rPr>
          <w:bCs/>
          <w:sz w:val="28"/>
          <w:szCs w:val="28"/>
        </w:rPr>
        <w:t xml:space="preserve">открытого конкурса в электронной форме № </w:t>
      </w:r>
      <w:r w:rsidR="000F2160">
        <w:rPr>
          <w:bCs/>
          <w:sz w:val="28"/>
          <w:szCs w:val="28"/>
        </w:rPr>
        <w:t>28802</w:t>
      </w:r>
      <w:r w:rsidRPr="006E16FB">
        <w:rPr>
          <w:bCs/>
          <w:sz w:val="28"/>
          <w:szCs w:val="28"/>
        </w:rPr>
        <w:t>/ОКЭ -  АО «ППК «Черноземье»/2019/ВРЖ</w:t>
      </w:r>
    </w:p>
    <w:p w:rsidR="00031CD2" w:rsidRPr="00E62BA7" w:rsidRDefault="00031CD2" w:rsidP="00031CD2">
      <w:pPr>
        <w:jc w:val="center"/>
        <w:rPr>
          <w:bCs/>
          <w:i/>
          <w:sz w:val="28"/>
          <w:szCs w:val="28"/>
        </w:rPr>
      </w:pPr>
      <w:r>
        <w:rPr>
          <w:bCs/>
          <w:i/>
          <w:sz w:val="28"/>
          <w:szCs w:val="28"/>
        </w:rPr>
        <w:t>на о</w:t>
      </w:r>
      <w:r w:rsidRPr="00D924B5">
        <w:rPr>
          <w:bCs/>
          <w:i/>
          <w:sz w:val="28"/>
          <w:szCs w:val="28"/>
        </w:rPr>
        <w:t>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6D7D15" w:rsidRPr="006E16FB"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в Единой информационной системе в сфере закупок (далее – Единая информационная система), на сайте www.rzd.ru (раздел «Тендеры»),</w:t>
            </w:r>
            <w:r w:rsidR="00175AB3" w:rsidRPr="00DE6E5A">
              <w:rPr>
                <w:sz w:val="28"/>
                <w:szCs w:val="28"/>
              </w:rPr>
              <w:t xml:space="preserve"> </w:t>
            </w:r>
            <w:r w:rsidR="005055B4" w:rsidRPr="00795D39">
              <w:rPr>
                <w:bCs/>
                <w:sz w:val="28"/>
                <w:szCs w:val="28"/>
              </w:rPr>
              <w:t xml:space="preserve">на универсальной электронной торговой площадке (на странице данного </w:t>
            </w:r>
            <w:r w:rsidR="005055B4">
              <w:rPr>
                <w:bCs/>
                <w:sz w:val="28"/>
                <w:szCs w:val="28"/>
              </w:rPr>
              <w:t>открытого конкурса</w:t>
            </w:r>
            <w:r w:rsidR="005055B4" w:rsidRPr="00795D39">
              <w:rPr>
                <w:bCs/>
                <w:sz w:val="28"/>
                <w:szCs w:val="28"/>
              </w:rPr>
              <w:t xml:space="preserve"> на сайте</w:t>
            </w:r>
            <w:r w:rsidR="005055B4" w:rsidRPr="00795D39">
              <w:t xml:space="preserve"> </w:t>
            </w:r>
            <w:hyperlink r:id="rId8" w:history="1">
              <w:r w:rsidR="005055B4" w:rsidRPr="00795D39">
                <w:rPr>
                  <w:bCs/>
                  <w:color w:val="0000FF"/>
                  <w:sz w:val="28"/>
                  <w:szCs w:val="28"/>
                  <w:u w:val="single"/>
                </w:rPr>
                <w:t>https://etp.comita.r</w:t>
              </w:r>
              <w:r w:rsidR="005055B4" w:rsidRPr="00795D39">
                <w:rPr>
                  <w:bCs/>
                  <w:color w:val="0000FF"/>
                  <w:sz w:val="28"/>
                  <w:szCs w:val="28"/>
                  <w:u w:val="single"/>
                  <w:lang w:val="en-US"/>
                </w:rPr>
                <w:t>u</w:t>
              </w:r>
            </w:hyperlink>
            <w:r w:rsidR="005055B4" w:rsidRPr="00795D39">
              <w:rPr>
                <w:bCs/>
                <w:sz w:val="28"/>
                <w:szCs w:val="28"/>
              </w:rPr>
              <w:t>)</w:t>
            </w:r>
            <w:r w:rsidR="005055B4" w:rsidRPr="00795D39">
              <w:rPr>
                <w:rStyle w:val="af6"/>
                <w:bCs/>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w:t>
            </w:r>
            <w:r w:rsidR="00B46082">
              <w:rPr>
                <w:b/>
                <w:sz w:val="28"/>
                <w:szCs w:val="28"/>
              </w:rPr>
              <w:t>30</w:t>
            </w:r>
            <w:r w:rsidR="009B69A9" w:rsidRPr="009B69A9">
              <w:rPr>
                <w:b/>
                <w:sz w:val="28"/>
                <w:szCs w:val="28"/>
              </w:rPr>
              <w:t xml:space="preserve">» </w:t>
            </w:r>
            <w:r w:rsidR="00031CD2">
              <w:rPr>
                <w:b/>
                <w:sz w:val="28"/>
                <w:szCs w:val="28"/>
              </w:rPr>
              <w:t>октября</w:t>
            </w:r>
            <w:r w:rsidR="009B69A9" w:rsidRPr="009B69A9">
              <w:rPr>
                <w:b/>
                <w:sz w:val="28"/>
                <w:szCs w:val="28"/>
              </w:rPr>
              <w:t xml:space="preserve"> 2019 года</w:t>
            </w:r>
            <w:r w:rsidRPr="005055B4">
              <w:rPr>
                <w:bCs/>
                <w:sz w:val="28"/>
                <w:szCs w:val="28"/>
              </w:rPr>
              <w:t>.</w:t>
            </w:r>
          </w:p>
          <w:p w:rsidR="006D7D15" w:rsidRPr="00DE6E5A" w:rsidRDefault="006D7D15" w:rsidP="005055B4">
            <w:pPr>
              <w:jc w:val="both"/>
              <w:rPr>
                <w:bCs/>
                <w:i/>
                <w:sz w:val="28"/>
                <w:szCs w:val="28"/>
              </w:rPr>
            </w:pPr>
            <w:r w:rsidRPr="00DE6E5A">
              <w:rPr>
                <w:sz w:val="28"/>
                <w:szCs w:val="28"/>
              </w:rPr>
              <w:t xml:space="preserve">Все </w:t>
            </w:r>
            <w:r w:rsidRPr="005055B4">
              <w:rPr>
                <w:sz w:val="28"/>
                <w:szCs w:val="28"/>
              </w:rPr>
              <w:t xml:space="preserve">необходимые документы по </w:t>
            </w:r>
            <w:r w:rsidR="005055B4" w:rsidRPr="005055B4">
              <w:rPr>
                <w:bCs/>
                <w:sz w:val="28"/>
                <w:szCs w:val="28"/>
              </w:rPr>
              <w:t xml:space="preserve">открытому  конкурсу в электронной форме №  </w:t>
            </w:r>
            <w:r w:rsidR="000F2160">
              <w:rPr>
                <w:bCs/>
                <w:sz w:val="28"/>
                <w:szCs w:val="28"/>
              </w:rPr>
              <w:t>28802</w:t>
            </w:r>
            <w:r w:rsidR="005055B4" w:rsidRPr="005055B4">
              <w:rPr>
                <w:bCs/>
                <w:sz w:val="28"/>
                <w:szCs w:val="28"/>
              </w:rPr>
              <w:t xml:space="preserve">/ОКЭ -  АО «ППК «Черноземье»/2019/ВРЖ </w:t>
            </w:r>
            <w:r w:rsidRPr="005055B4">
              <w:rPr>
                <w:sz w:val="28"/>
                <w:szCs w:val="28"/>
              </w:rPr>
              <w:t>размещены</w:t>
            </w:r>
            <w:r w:rsidRPr="00DE6E5A">
              <w:rPr>
                <w:sz w:val="28"/>
                <w:szCs w:val="28"/>
              </w:rPr>
              <w:t xml:space="preserve">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конкурс в электронной форме №  </w:t>
            </w:r>
            <w:r w:rsidR="000F2160">
              <w:rPr>
                <w:bCs/>
                <w:sz w:val="28"/>
                <w:szCs w:val="28"/>
              </w:rPr>
              <w:t>28802</w:t>
            </w:r>
            <w:r w:rsidRPr="005055B4">
              <w:rPr>
                <w:bCs/>
                <w:sz w:val="28"/>
                <w:szCs w:val="28"/>
              </w:rPr>
              <w:t xml:space="preserve">/ОКЭ -  АО «ППК «Черноземье»/2019/ВРЖ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5055B4" w:rsidP="005055B4">
            <w:pPr>
              <w:jc w:val="both"/>
              <w:rPr>
                <w:bCs/>
                <w:i/>
                <w:sz w:val="28"/>
                <w:szCs w:val="28"/>
              </w:rPr>
            </w:pPr>
            <w:r w:rsidRPr="003467AC">
              <w:rPr>
                <w:bCs/>
                <w:sz w:val="28"/>
                <w:szCs w:val="28"/>
              </w:rPr>
              <w:t>Универсальная электронная торговая площадка на сайте</w:t>
            </w:r>
            <w:r w:rsidRPr="003467AC">
              <w:rPr>
                <w:b/>
                <w:bCs/>
                <w:sz w:val="28"/>
                <w:szCs w:val="28"/>
              </w:rPr>
              <w:t xml:space="preserve"> </w:t>
            </w:r>
            <w:hyperlink r:id="rId9" w:history="1">
              <w:r w:rsidRPr="001B7CAB">
                <w:rPr>
                  <w:rStyle w:val="af6"/>
                  <w:b/>
                  <w:bCs/>
                  <w:sz w:val="28"/>
                  <w:szCs w:val="28"/>
                </w:rPr>
                <w:t>https://etp.comita.r</w:t>
              </w:r>
              <w:r w:rsidRPr="001B7CAB">
                <w:rPr>
                  <w:rStyle w:val="af6"/>
                  <w:b/>
                  <w:bCs/>
                  <w:sz w:val="28"/>
                  <w:szCs w:val="28"/>
                  <w:lang w:val="en-US"/>
                </w:rPr>
                <w:t>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r w:rsidRPr="00795D39">
                <w:rPr>
                  <w:bCs/>
                  <w:sz w:val="28"/>
                  <w:szCs w:val="28"/>
                  <w:u w:val="single"/>
                  <w:lang w:val="en-US"/>
                </w:rPr>
                <w:t>ru</w:t>
              </w:r>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055B4" w:rsidRPr="00795D39" w:rsidRDefault="005055B4" w:rsidP="005055B4">
            <w:pPr>
              <w:jc w:val="both"/>
              <w:rPr>
                <w:b/>
                <w:bCs/>
                <w:sz w:val="28"/>
                <w:szCs w:val="28"/>
              </w:rPr>
            </w:pPr>
            <w:r w:rsidRPr="00795D39">
              <w:rPr>
                <w:b/>
                <w:bCs/>
                <w:sz w:val="28"/>
                <w:szCs w:val="28"/>
              </w:rPr>
              <w:lastRenderedPageBreak/>
              <w:t xml:space="preserve">Контактные данные: </w:t>
            </w:r>
          </w:p>
          <w:p w:rsidR="005055B4" w:rsidRPr="00795D39" w:rsidRDefault="005055B4" w:rsidP="005055B4">
            <w:pPr>
              <w:jc w:val="both"/>
              <w:rPr>
                <w:b/>
                <w:bCs/>
                <w:sz w:val="28"/>
                <w:szCs w:val="28"/>
              </w:rPr>
            </w:pPr>
            <w:r w:rsidRPr="00795D39">
              <w:rPr>
                <w:b/>
                <w:bCs/>
                <w:sz w:val="28"/>
                <w:szCs w:val="28"/>
              </w:rPr>
              <w:t xml:space="preserve">Адрес: </w:t>
            </w:r>
            <w:r w:rsidRPr="00795D39">
              <w:rPr>
                <w:bCs/>
                <w:sz w:val="28"/>
                <w:szCs w:val="28"/>
              </w:rPr>
              <w:t>394036, г. Воронеж, проспект Революции, д.18, к.261.</w:t>
            </w:r>
          </w:p>
          <w:p w:rsidR="005055B4" w:rsidRPr="00795D39" w:rsidRDefault="005055B4" w:rsidP="005055B4">
            <w:pPr>
              <w:jc w:val="both"/>
              <w:rPr>
                <w:b/>
                <w:bCs/>
                <w:sz w:val="28"/>
                <w:szCs w:val="28"/>
              </w:rPr>
            </w:pPr>
            <w:r w:rsidRPr="00795D39">
              <w:rPr>
                <w:b/>
                <w:bCs/>
                <w:sz w:val="28"/>
                <w:szCs w:val="28"/>
              </w:rPr>
              <w:t>Контактное лицо:</w:t>
            </w:r>
          </w:p>
          <w:p w:rsidR="005055B4" w:rsidRPr="00EB517B" w:rsidRDefault="005055B4" w:rsidP="005055B4">
            <w:pPr>
              <w:jc w:val="both"/>
              <w:rPr>
                <w:bCs/>
                <w:sz w:val="28"/>
                <w:szCs w:val="28"/>
              </w:rPr>
            </w:pPr>
            <w:r w:rsidRPr="00724490">
              <w:rPr>
                <w:bCs/>
                <w:sz w:val="28"/>
                <w:szCs w:val="28"/>
              </w:rPr>
              <w:t xml:space="preserve">Контактное лицо: </w:t>
            </w:r>
            <w:r w:rsidRPr="00093805">
              <w:rPr>
                <w:bCs/>
                <w:sz w:val="28"/>
                <w:szCs w:val="28"/>
              </w:rPr>
              <w:t>Главный</w:t>
            </w:r>
            <w:r>
              <w:rPr>
                <w:bCs/>
                <w:sz w:val="28"/>
                <w:szCs w:val="28"/>
              </w:rPr>
              <w:t xml:space="preserve"> </w:t>
            </w:r>
            <w:r w:rsidRPr="00093805">
              <w:rPr>
                <w:bCs/>
                <w:sz w:val="28"/>
                <w:szCs w:val="28"/>
              </w:rPr>
              <w:t>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Pr="00EB517B">
              <w:rPr>
                <w:bCs/>
                <w:sz w:val="28"/>
                <w:szCs w:val="28"/>
              </w:rPr>
              <w:t>Чалая Евгения Николаевна.</w:t>
            </w:r>
          </w:p>
          <w:p w:rsidR="005055B4" w:rsidRPr="00EB517B" w:rsidRDefault="005055B4" w:rsidP="005055B4">
            <w:pPr>
              <w:jc w:val="both"/>
              <w:rPr>
                <w:bCs/>
                <w:sz w:val="28"/>
                <w:szCs w:val="28"/>
              </w:rPr>
            </w:pPr>
            <w:r w:rsidRPr="00EB517B">
              <w:rPr>
                <w:bCs/>
                <w:sz w:val="28"/>
                <w:szCs w:val="28"/>
              </w:rPr>
              <w:t xml:space="preserve">Адрес электронной почты: </w:t>
            </w:r>
            <w:r w:rsidRPr="005C5602">
              <w:rPr>
                <w:bCs/>
                <w:sz w:val="28"/>
                <w:szCs w:val="28"/>
              </w:rPr>
              <w:t>EChalaya@serw.ru</w:t>
            </w:r>
            <w:r w:rsidRPr="00EB517B">
              <w:rPr>
                <w:bCs/>
                <w:sz w:val="28"/>
                <w:szCs w:val="28"/>
              </w:rPr>
              <w:t>.</w:t>
            </w:r>
          </w:p>
          <w:p w:rsidR="005055B4" w:rsidRPr="00EB517B" w:rsidRDefault="005055B4" w:rsidP="005055B4">
            <w:pPr>
              <w:jc w:val="both"/>
              <w:rPr>
                <w:bCs/>
                <w:sz w:val="28"/>
                <w:szCs w:val="28"/>
              </w:rPr>
            </w:pPr>
            <w:r w:rsidRPr="00EB517B">
              <w:rPr>
                <w:bCs/>
                <w:sz w:val="28"/>
                <w:szCs w:val="28"/>
              </w:rPr>
              <w:t>Номер телефона:8(473)265-27-93, 8(473)265-26-62, 265-25-94, 265-34-74.</w:t>
            </w:r>
          </w:p>
          <w:p w:rsidR="005055B4" w:rsidRPr="00DE6E5A" w:rsidRDefault="005055B4" w:rsidP="005055B4">
            <w:pPr>
              <w:jc w:val="both"/>
              <w:rPr>
                <w:b/>
                <w:bCs/>
                <w:sz w:val="28"/>
                <w:szCs w:val="28"/>
              </w:rPr>
            </w:pPr>
            <w:r w:rsidRPr="00EB517B">
              <w:rPr>
                <w:bCs/>
                <w:sz w:val="28"/>
                <w:szCs w:val="28"/>
              </w:rPr>
              <w:t>Номер факса: 8(473)265-36-15.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i/>
                <w:sz w:val="28"/>
                <w:szCs w:val="28"/>
              </w:rPr>
            </w:pPr>
            <w:r w:rsidRPr="005055B4">
              <w:rPr>
                <w:bCs/>
                <w:sz w:val="28"/>
                <w:szCs w:val="28"/>
              </w:rPr>
              <w:t>Обеспечение заявок не предусмотрено.</w:t>
            </w:r>
          </w:p>
          <w:p w:rsidR="005055B4" w:rsidRPr="00DE6E5A" w:rsidRDefault="005055B4" w:rsidP="005055B4">
            <w:pPr>
              <w:jc w:val="both"/>
              <w:rPr>
                <w:bCs/>
                <w:i/>
                <w:sz w:val="28"/>
                <w:szCs w:val="28"/>
              </w:rPr>
            </w:pPr>
          </w:p>
        </w:tc>
      </w:tr>
      <w:tr w:rsidR="009B69A9" w:rsidRPr="00DE6E5A" w:rsidTr="00DE6E5A">
        <w:tc>
          <w:tcPr>
            <w:tcW w:w="846" w:type="dxa"/>
          </w:tcPr>
          <w:p w:rsidR="009B69A9" w:rsidRPr="00DE6E5A" w:rsidRDefault="009B69A9" w:rsidP="009B69A9">
            <w:pPr>
              <w:jc w:val="center"/>
              <w:rPr>
                <w:bCs/>
                <w:sz w:val="28"/>
                <w:szCs w:val="28"/>
              </w:rPr>
            </w:pPr>
            <w:r w:rsidRPr="00DE6E5A">
              <w:rPr>
                <w:bCs/>
                <w:sz w:val="28"/>
                <w:szCs w:val="28"/>
              </w:rPr>
              <w:t>6.</w:t>
            </w:r>
          </w:p>
        </w:tc>
        <w:tc>
          <w:tcPr>
            <w:tcW w:w="3776" w:type="dxa"/>
          </w:tcPr>
          <w:p w:rsidR="009B69A9" w:rsidRPr="00DE6E5A" w:rsidRDefault="009B69A9" w:rsidP="009B69A9">
            <w:pPr>
              <w:jc w:val="center"/>
              <w:rPr>
                <w:bCs/>
                <w:sz w:val="28"/>
                <w:szCs w:val="28"/>
              </w:rPr>
            </w:pPr>
            <w:r w:rsidRPr="00DE6E5A">
              <w:rPr>
                <w:bCs/>
                <w:sz w:val="28"/>
                <w:szCs w:val="28"/>
              </w:rPr>
              <w:t>Обеспечение исполнения договора</w:t>
            </w:r>
          </w:p>
          <w:p w:rsidR="009B69A9" w:rsidRPr="00DE6E5A" w:rsidRDefault="009B69A9" w:rsidP="009B69A9">
            <w:pPr>
              <w:jc w:val="center"/>
              <w:rPr>
                <w:bCs/>
                <w:sz w:val="28"/>
                <w:szCs w:val="28"/>
              </w:rPr>
            </w:pPr>
          </w:p>
        </w:tc>
        <w:tc>
          <w:tcPr>
            <w:tcW w:w="6119" w:type="dxa"/>
          </w:tcPr>
          <w:p w:rsidR="001D16EB" w:rsidRPr="00DE6E5A" w:rsidRDefault="001D16EB" w:rsidP="001D16EB">
            <w:pPr>
              <w:rPr>
                <w:bCs/>
                <w:sz w:val="28"/>
                <w:szCs w:val="28"/>
              </w:rPr>
            </w:pPr>
            <w:r w:rsidRPr="005055B4">
              <w:rPr>
                <w:bCs/>
                <w:sz w:val="28"/>
                <w:szCs w:val="28"/>
              </w:rPr>
              <w:t xml:space="preserve">Обеспечение </w:t>
            </w:r>
            <w:r w:rsidRPr="00DE6E5A">
              <w:rPr>
                <w:bCs/>
                <w:sz w:val="28"/>
                <w:szCs w:val="28"/>
              </w:rPr>
              <w:t>исполнения договора</w:t>
            </w:r>
          </w:p>
          <w:p w:rsidR="001D16EB" w:rsidRPr="005055B4" w:rsidRDefault="001D16EB" w:rsidP="001D16EB">
            <w:pPr>
              <w:jc w:val="both"/>
              <w:rPr>
                <w:bCs/>
                <w:sz w:val="28"/>
                <w:szCs w:val="28"/>
              </w:rPr>
            </w:pPr>
            <w:r w:rsidRPr="005055B4">
              <w:rPr>
                <w:bCs/>
                <w:sz w:val="28"/>
                <w:szCs w:val="28"/>
              </w:rPr>
              <w:t>не предусмотрено.</w:t>
            </w:r>
          </w:p>
          <w:p w:rsidR="009B69A9" w:rsidRPr="00DE6E5A" w:rsidRDefault="009B69A9" w:rsidP="009B69A9">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031CD2" w:rsidRPr="00E62BA7" w:rsidRDefault="00031CD2" w:rsidP="00031CD2">
            <w:pPr>
              <w:jc w:val="both"/>
              <w:rPr>
                <w:bCs/>
                <w:i/>
                <w:sz w:val="28"/>
                <w:szCs w:val="28"/>
              </w:rPr>
            </w:pPr>
            <w:r>
              <w:rPr>
                <w:bCs/>
                <w:i/>
                <w:sz w:val="28"/>
                <w:szCs w:val="28"/>
              </w:rPr>
              <w:t>О</w:t>
            </w:r>
            <w:r w:rsidRPr="00D924B5">
              <w:rPr>
                <w:bCs/>
                <w:i/>
                <w:sz w:val="28"/>
                <w:szCs w:val="28"/>
              </w:rPr>
              <w:t>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5055B4" w:rsidRPr="00DE6E5A" w:rsidRDefault="005055B4" w:rsidP="005055B4">
            <w:pPr>
              <w:jc w:val="both"/>
              <w:rPr>
                <w:bCs/>
                <w:sz w:val="28"/>
                <w:szCs w:val="28"/>
              </w:rPr>
            </w:pPr>
            <w:r>
              <w:rPr>
                <w:bCs/>
                <w:sz w:val="28"/>
                <w:szCs w:val="28"/>
              </w:rPr>
              <w:t>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5055B4" w:rsidRPr="001D16EB" w:rsidRDefault="005055B4" w:rsidP="005055B4">
            <w:pPr>
              <w:jc w:val="both"/>
              <w:rPr>
                <w:bCs/>
                <w:sz w:val="28"/>
                <w:szCs w:val="28"/>
              </w:rPr>
            </w:pPr>
            <w:r w:rsidRPr="001D16EB">
              <w:rPr>
                <w:bCs/>
                <w:sz w:val="28"/>
                <w:szCs w:val="28"/>
              </w:rPr>
              <w:t xml:space="preserve">Начальная (максимальная) цена договора:  </w:t>
            </w:r>
          </w:p>
          <w:p w:rsidR="005055B4" w:rsidRPr="00031CD2" w:rsidRDefault="00031CD2" w:rsidP="001D16EB">
            <w:pPr>
              <w:jc w:val="both"/>
              <w:rPr>
                <w:bCs/>
                <w:iCs/>
                <w:sz w:val="28"/>
                <w:szCs w:val="28"/>
              </w:rPr>
            </w:pPr>
            <w:r w:rsidRPr="00031CD2">
              <w:rPr>
                <w:iCs/>
                <w:sz w:val="28"/>
                <w:szCs w:val="28"/>
              </w:rPr>
              <w:t>962 832,00</w:t>
            </w:r>
            <w:r w:rsidRPr="00031CD2">
              <w:rPr>
                <w:bCs/>
                <w:iCs/>
                <w:sz w:val="28"/>
                <w:szCs w:val="28"/>
              </w:rPr>
              <w:t xml:space="preserve"> </w:t>
            </w:r>
            <w:r w:rsidR="001D16EB" w:rsidRPr="00031CD2">
              <w:rPr>
                <w:bCs/>
                <w:iCs/>
                <w:sz w:val="28"/>
                <w:szCs w:val="28"/>
              </w:rPr>
              <w:t>(</w:t>
            </w:r>
            <w:r w:rsidRPr="00031CD2">
              <w:rPr>
                <w:bCs/>
                <w:iCs/>
                <w:sz w:val="28"/>
                <w:szCs w:val="28"/>
              </w:rPr>
              <w:t>девятьсот шестьдесят две тысячи восемьсот тридцать два) рубля</w:t>
            </w:r>
            <w:r w:rsidR="001D16EB" w:rsidRPr="00031CD2">
              <w:rPr>
                <w:bCs/>
                <w:iCs/>
                <w:sz w:val="28"/>
                <w:szCs w:val="28"/>
              </w:rPr>
              <w:t xml:space="preserve">  </w:t>
            </w:r>
            <w:r w:rsidRPr="00031CD2">
              <w:rPr>
                <w:bCs/>
                <w:iCs/>
                <w:sz w:val="28"/>
                <w:szCs w:val="28"/>
              </w:rPr>
              <w:t>00</w:t>
            </w:r>
            <w:r w:rsidR="001D16EB" w:rsidRPr="00031CD2">
              <w:rPr>
                <w:bCs/>
                <w:iCs/>
                <w:sz w:val="28"/>
                <w:szCs w:val="28"/>
              </w:rPr>
              <w:t xml:space="preserve"> копеек (</w:t>
            </w:r>
            <w:r w:rsidRPr="00031CD2">
              <w:rPr>
                <w:bCs/>
                <w:iCs/>
                <w:sz w:val="28"/>
                <w:szCs w:val="28"/>
              </w:rPr>
              <w:t xml:space="preserve">без учета </w:t>
            </w:r>
            <w:r w:rsidR="001D16EB" w:rsidRPr="00031CD2">
              <w:rPr>
                <w:bCs/>
                <w:iCs/>
                <w:sz w:val="28"/>
                <w:szCs w:val="28"/>
              </w:rPr>
              <w:t>НДС)</w:t>
            </w:r>
            <w:r w:rsidRPr="00031CD2">
              <w:rPr>
                <w:bCs/>
                <w:iCs/>
                <w:sz w:val="28"/>
                <w:szCs w:val="28"/>
              </w:rPr>
              <w:t>;</w:t>
            </w:r>
          </w:p>
          <w:p w:rsidR="00031CD2" w:rsidRPr="00031CD2" w:rsidRDefault="00031CD2" w:rsidP="00031CD2">
            <w:pPr>
              <w:jc w:val="both"/>
              <w:rPr>
                <w:iCs/>
                <w:sz w:val="28"/>
                <w:szCs w:val="28"/>
              </w:rPr>
            </w:pPr>
            <w:r w:rsidRPr="00031CD2">
              <w:rPr>
                <w:iCs/>
                <w:sz w:val="28"/>
                <w:szCs w:val="28"/>
              </w:rPr>
              <w:t>1 155 398 (один миллион сто пятьдесят пять тысяч триста девяносто восемь) рублей 40 копеек с учетом НДС.</w:t>
            </w:r>
          </w:p>
          <w:p w:rsidR="00031CD2" w:rsidRPr="00031CD2" w:rsidRDefault="00031CD2" w:rsidP="001D16EB">
            <w:pPr>
              <w:jc w:val="both"/>
              <w:rPr>
                <w:bCs/>
                <w:i/>
                <w:sz w:val="28"/>
                <w:szCs w:val="28"/>
              </w:rPr>
            </w:pPr>
            <w:r w:rsidRPr="00031CD2">
              <w:rPr>
                <w:bCs/>
                <w:sz w:val="28"/>
                <w:szCs w:val="28"/>
              </w:rPr>
              <w:t xml:space="preserve">Начальная (максимальная) цена договора включает все возможные расходы участника, связанные с оказанием услуг, а также расходы на перевозку, страхование и т.п., уплату таможенных пошлин, налогов (кроме НДС), и другие обязательные платежи, стоимость материалов и оборудования, транспортные и </w:t>
            </w:r>
            <w:r w:rsidRPr="00031CD2">
              <w:rPr>
                <w:bCs/>
                <w:sz w:val="28"/>
                <w:szCs w:val="28"/>
              </w:rPr>
              <w:lastRenderedPageBreak/>
              <w:t>иные расходы, в том числе сопутствующие/связанные с исполнением договора, которые необходимо учитывать при исполнении договора</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r w:rsidRPr="00DE6E5A">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w:t>
            </w:r>
            <w:r w:rsidRPr="00DE6E5A">
              <w:rPr>
                <w:bCs/>
                <w:i/>
                <w:sz w:val="28"/>
                <w:szCs w:val="28"/>
              </w:rPr>
              <w:t xml:space="preserve"> а также на ЭТЗП</w:t>
            </w:r>
            <w:r>
              <w:rPr>
                <w:bCs/>
                <w:i/>
                <w:sz w:val="28"/>
                <w:szCs w:val="28"/>
              </w:rPr>
              <w:t>,</w:t>
            </w:r>
            <w:r w:rsidRPr="00E87ABD">
              <w:rPr>
                <w:bCs/>
                <w:sz w:val="28"/>
                <w:szCs w:val="28"/>
              </w:rPr>
              <w:t xml:space="preserve"> на официальном сайте Заказчика </w:t>
            </w:r>
            <w:hyperlink r:id="rId11"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11.</w:t>
            </w:r>
          </w:p>
        </w:tc>
        <w:tc>
          <w:tcPr>
            <w:tcW w:w="3776" w:type="dxa"/>
          </w:tcPr>
          <w:p w:rsidR="005055B4" w:rsidRPr="00DE6E5A" w:rsidRDefault="005055B4" w:rsidP="005055B4">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D66995" w:rsidRDefault="005055B4" w:rsidP="00BE08B6">
            <w:pPr>
              <w:ind w:firstLine="709"/>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00BE08B6" w:rsidRPr="006E16FB">
              <w:rPr>
                <w:bCs/>
                <w:sz w:val="28"/>
                <w:szCs w:val="28"/>
              </w:rPr>
              <w:t>«</w:t>
            </w:r>
            <w:r w:rsidR="00B46082">
              <w:rPr>
                <w:bCs/>
                <w:sz w:val="28"/>
                <w:szCs w:val="28"/>
              </w:rPr>
              <w:t>30</w:t>
            </w:r>
            <w:r w:rsidR="00BE08B6" w:rsidRPr="006E16FB">
              <w:rPr>
                <w:bCs/>
                <w:sz w:val="28"/>
                <w:szCs w:val="28"/>
              </w:rPr>
              <w:t xml:space="preserve">» </w:t>
            </w:r>
            <w:r w:rsidR="00031CD2">
              <w:rPr>
                <w:bCs/>
                <w:sz w:val="28"/>
                <w:szCs w:val="28"/>
              </w:rPr>
              <w:t xml:space="preserve">октября </w:t>
            </w:r>
            <w:r w:rsidR="00BE08B6" w:rsidRPr="006E16FB">
              <w:rPr>
                <w:bCs/>
                <w:sz w:val="28"/>
                <w:szCs w:val="28"/>
              </w:rPr>
              <w:t>2019 года</w:t>
            </w:r>
            <w:r w:rsidR="00BE08B6" w:rsidRPr="00D66995">
              <w:rPr>
                <w:bCs/>
                <w:i/>
                <w:sz w:val="28"/>
                <w:szCs w:val="28"/>
              </w:rPr>
              <w:t>.</w:t>
            </w:r>
          </w:p>
          <w:p w:rsidR="00BE08B6" w:rsidRPr="00BF145C" w:rsidRDefault="005055B4" w:rsidP="00BE08B6">
            <w:pPr>
              <w:ind w:firstLine="709"/>
              <w:jc w:val="both"/>
              <w:rPr>
                <w:bCs/>
                <w:i/>
                <w:sz w:val="28"/>
                <w:szCs w:val="28"/>
              </w:rPr>
            </w:pPr>
            <w:r w:rsidRPr="00DE6E5A">
              <w:rPr>
                <w:bCs/>
                <w:sz w:val="28"/>
                <w:szCs w:val="28"/>
              </w:rPr>
              <w:t xml:space="preserve">Дата и время окончания срока подачи заявок – </w:t>
            </w:r>
            <w:r w:rsidR="000F2160">
              <w:rPr>
                <w:b/>
                <w:bCs/>
                <w:sz w:val="28"/>
                <w:szCs w:val="28"/>
              </w:rPr>
              <w:t>11</w:t>
            </w:r>
            <w:r w:rsidR="00BE08B6" w:rsidRPr="00BF145C">
              <w:rPr>
                <w:b/>
                <w:bCs/>
                <w:sz w:val="28"/>
                <w:szCs w:val="28"/>
              </w:rPr>
              <w:t xml:space="preserve"> 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0F2160">
              <w:rPr>
                <w:b/>
                <w:bCs/>
                <w:sz w:val="28"/>
                <w:szCs w:val="28"/>
              </w:rPr>
              <w:t>1</w:t>
            </w:r>
            <w:r w:rsidR="00B46082">
              <w:rPr>
                <w:b/>
                <w:bCs/>
                <w:sz w:val="28"/>
                <w:szCs w:val="28"/>
              </w:rPr>
              <w:t>8</w:t>
            </w:r>
            <w:r w:rsidR="00BE08B6" w:rsidRPr="00BF145C">
              <w:rPr>
                <w:b/>
                <w:bCs/>
                <w:sz w:val="28"/>
                <w:szCs w:val="28"/>
              </w:rPr>
              <w:t>»</w:t>
            </w:r>
            <w:r w:rsidR="00031CD2">
              <w:rPr>
                <w:b/>
                <w:bCs/>
                <w:sz w:val="28"/>
                <w:szCs w:val="28"/>
              </w:rPr>
              <w:t xml:space="preserve"> ноября </w:t>
            </w:r>
            <w:r w:rsidR="00BE08B6">
              <w:rPr>
                <w:b/>
                <w:bCs/>
                <w:sz w:val="28"/>
                <w:szCs w:val="28"/>
              </w:rPr>
              <w:t xml:space="preserve"> </w:t>
            </w:r>
            <w:r w:rsidR="00BE08B6" w:rsidRPr="00BF145C">
              <w:rPr>
                <w:b/>
                <w:bCs/>
                <w:sz w:val="28"/>
                <w:szCs w:val="28"/>
              </w:rPr>
              <w:t>2019 г.</w:t>
            </w:r>
          </w:p>
          <w:p w:rsidR="005055B4" w:rsidRPr="00DE6E5A" w:rsidRDefault="00BE08B6" w:rsidP="001D16EB">
            <w:pPr>
              <w:spacing w:line="360" w:lineRule="exact"/>
              <w:jc w:val="both"/>
              <w:rPr>
                <w:bCs/>
                <w:sz w:val="28"/>
                <w:szCs w:val="28"/>
              </w:rPr>
            </w:pPr>
            <w:r>
              <w:rPr>
                <w:bCs/>
                <w:sz w:val="28"/>
                <w:szCs w:val="28"/>
              </w:rPr>
              <w:t>З</w:t>
            </w:r>
            <w:r w:rsidR="005055B4" w:rsidRPr="00DE6E5A">
              <w:rPr>
                <w:bCs/>
                <w:sz w:val="28"/>
                <w:szCs w:val="28"/>
              </w:rPr>
              <w:t xml:space="preserve">аявки на участие в </w:t>
            </w:r>
            <w:r>
              <w:rPr>
                <w:bCs/>
                <w:sz w:val="28"/>
                <w:szCs w:val="28"/>
              </w:rPr>
              <w:t>о</w:t>
            </w:r>
            <w:r w:rsidRPr="00C906AC">
              <w:rPr>
                <w:sz w:val="28"/>
                <w:szCs w:val="28"/>
              </w:rPr>
              <w:t>ткрыт</w:t>
            </w:r>
            <w:r>
              <w:rPr>
                <w:sz w:val="28"/>
                <w:szCs w:val="28"/>
              </w:rPr>
              <w:t>ом</w:t>
            </w:r>
            <w:r w:rsidRPr="00C906AC">
              <w:rPr>
                <w:sz w:val="28"/>
                <w:szCs w:val="28"/>
              </w:rPr>
              <w:t xml:space="preserve"> конкурс</w:t>
            </w:r>
            <w:r>
              <w:rPr>
                <w:sz w:val="28"/>
                <w:szCs w:val="28"/>
              </w:rPr>
              <w:t>е</w:t>
            </w:r>
            <w:r w:rsidRPr="00C906AC">
              <w:rPr>
                <w:sz w:val="28"/>
                <w:szCs w:val="28"/>
              </w:rPr>
              <w:t xml:space="preserve"> в электронной форме </w:t>
            </w:r>
            <w:r w:rsidRPr="00C906AC">
              <w:rPr>
                <w:i/>
                <w:sz w:val="28"/>
                <w:szCs w:val="28"/>
              </w:rPr>
              <w:t>№</w:t>
            </w:r>
            <w:r w:rsidRPr="00C906AC">
              <w:rPr>
                <w:bCs/>
                <w:sz w:val="28"/>
                <w:szCs w:val="28"/>
              </w:rPr>
              <w:t xml:space="preserve"> </w:t>
            </w:r>
            <w:r w:rsidR="000F2160">
              <w:rPr>
                <w:bCs/>
                <w:sz w:val="28"/>
                <w:szCs w:val="28"/>
              </w:rPr>
              <w:t>28802</w:t>
            </w:r>
            <w:r w:rsidRPr="00C906AC">
              <w:rPr>
                <w:bCs/>
                <w:sz w:val="28"/>
                <w:szCs w:val="28"/>
              </w:rPr>
              <w:t>/ОКЭ -  АО «ППК «Черноземье»/2019/ВРЖ</w:t>
            </w:r>
            <w:r w:rsidRPr="00C906AC">
              <w:rPr>
                <w:bCs/>
                <w:i/>
                <w:sz w:val="28"/>
                <w:szCs w:val="28"/>
              </w:rPr>
              <w:t xml:space="preserve"> </w:t>
            </w:r>
            <w:r>
              <w:rPr>
                <w:bCs/>
                <w:i/>
                <w:sz w:val="28"/>
                <w:szCs w:val="28"/>
              </w:rPr>
              <w:t xml:space="preserve"> </w:t>
            </w:r>
            <w:r w:rsidR="005055B4" w:rsidRPr="00DE6E5A">
              <w:rPr>
                <w:bCs/>
                <w:sz w:val="28"/>
                <w:szCs w:val="28"/>
              </w:rPr>
              <w:t xml:space="preserve">подаются в электронной форме на ЭТЗП. </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12.</w:t>
            </w:r>
          </w:p>
        </w:tc>
        <w:tc>
          <w:tcPr>
            <w:tcW w:w="3776" w:type="dxa"/>
          </w:tcPr>
          <w:p w:rsidR="005055B4" w:rsidRPr="00DE6E5A" w:rsidRDefault="005055B4" w:rsidP="005055B4">
            <w:pPr>
              <w:jc w:val="center"/>
              <w:rPr>
                <w:bCs/>
                <w:sz w:val="28"/>
                <w:szCs w:val="28"/>
              </w:rPr>
            </w:pPr>
            <w:r w:rsidRPr="00DE6E5A">
              <w:rPr>
                <w:bCs/>
                <w:sz w:val="28"/>
                <w:szCs w:val="28"/>
              </w:rPr>
              <w:t>Порядок подведения итогов закупки</w:t>
            </w:r>
          </w:p>
        </w:tc>
        <w:tc>
          <w:tcPr>
            <w:tcW w:w="6119" w:type="dxa"/>
          </w:tcPr>
          <w:p w:rsidR="005055B4" w:rsidRPr="00DE6E5A" w:rsidRDefault="005055B4" w:rsidP="005055B4">
            <w:pPr>
              <w:ind w:left="8"/>
              <w:jc w:val="both"/>
              <w:rPr>
                <w:bCs/>
                <w:sz w:val="28"/>
                <w:szCs w:val="28"/>
              </w:rPr>
            </w:pPr>
            <w:r w:rsidRPr="00DE6E5A">
              <w:rPr>
                <w:bCs/>
                <w:sz w:val="28"/>
                <w:szCs w:val="28"/>
              </w:rPr>
              <w:t>Подведение итогов осуществляется в следующем порядке:</w:t>
            </w:r>
          </w:p>
          <w:p w:rsidR="005055B4" w:rsidRPr="00DE6E5A" w:rsidRDefault="005055B4" w:rsidP="005055B4">
            <w:pPr>
              <w:numPr>
                <w:ilvl w:val="0"/>
                <w:numId w:val="1"/>
              </w:numPr>
              <w:ind w:left="8" w:firstLine="0"/>
              <w:jc w:val="both"/>
              <w:rPr>
                <w:bCs/>
                <w:i/>
                <w:sz w:val="28"/>
                <w:szCs w:val="28"/>
              </w:rPr>
            </w:pPr>
            <w:r w:rsidRPr="00DE6E5A">
              <w:rPr>
                <w:bCs/>
                <w:sz w:val="28"/>
                <w:szCs w:val="28"/>
              </w:rPr>
              <w:t>Вскрытие заявок осуществляется по истечении срока подачи заявок</w:t>
            </w:r>
            <w:r w:rsidR="00AC174C">
              <w:rPr>
                <w:bCs/>
                <w:sz w:val="28"/>
                <w:szCs w:val="28"/>
              </w:rPr>
              <w:t xml:space="preserve"> </w:t>
            </w:r>
            <w:r w:rsidR="000F2160">
              <w:rPr>
                <w:bCs/>
                <w:sz w:val="28"/>
                <w:szCs w:val="28"/>
              </w:rPr>
              <w:t xml:space="preserve">11 </w:t>
            </w:r>
            <w:r w:rsidR="00BE08B6" w:rsidRPr="00BF145C">
              <w:rPr>
                <w:b/>
                <w:bCs/>
                <w:sz w:val="28"/>
                <w:szCs w:val="28"/>
              </w:rPr>
              <w:t xml:space="preserve">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9B69A9" w:rsidRPr="00BF145C">
              <w:rPr>
                <w:b/>
                <w:bCs/>
                <w:sz w:val="28"/>
                <w:szCs w:val="28"/>
              </w:rPr>
              <w:t>«</w:t>
            </w:r>
            <w:r w:rsidR="000F2160">
              <w:rPr>
                <w:b/>
                <w:bCs/>
                <w:sz w:val="28"/>
                <w:szCs w:val="28"/>
              </w:rPr>
              <w:t>1</w:t>
            </w:r>
            <w:r w:rsidR="00B46082">
              <w:rPr>
                <w:b/>
                <w:bCs/>
                <w:sz w:val="28"/>
                <w:szCs w:val="28"/>
              </w:rPr>
              <w:t>8</w:t>
            </w:r>
            <w:r w:rsidR="009B69A9" w:rsidRPr="00BF145C">
              <w:rPr>
                <w:b/>
                <w:bCs/>
                <w:sz w:val="28"/>
                <w:szCs w:val="28"/>
              </w:rPr>
              <w:t>»</w:t>
            </w:r>
            <w:r w:rsidR="009B69A9">
              <w:rPr>
                <w:b/>
                <w:bCs/>
                <w:sz w:val="28"/>
                <w:szCs w:val="28"/>
              </w:rPr>
              <w:t xml:space="preserve"> </w:t>
            </w:r>
            <w:r w:rsidR="00031CD2">
              <w:rPr>
                <w:b/>
                <w:bCs/>
                <w:sz w:val="28"/>
                <w:szCs w:val="28"/>
              </w:rPr>
              <w:t>ноября</w:t>
            </w:r>
            <w:r w:rsidR="009B69A9">
              <w:rPr>
                <w:b/>
                <w:bCs/>
                <w:sz w:val="28"/>
                <w:szCs w:val="28"/>
              </w:rPr>
              <w:t xml:space="preserve"> </w:t>
            </w:r>
            <w:r w:rsidR="009B69A9" w:rsidRPr="00BF145C">
              <w:rPr>
                <w:b/>
                <w:bCs/>
                <w:sz w:val="28"/>
                <w:szCs w:val="28"/>
              </w:rPr>
              <w:t>2019 г.</w:t>
            </w:r>
            <w:r w:rsidR="00BE08B6">
              <w:rPr>
                <w:b/>
                <w:bCs/>
                <w:sz w:val="28"/>
                <w:szCs w:val="28"/>
              </w:rPr>
              <w:t xml:space="preserve"> </w:t>
            </w:r>
            <w:r w:rsidRPr="00DE6E5A">
              <w:rPr>
                <w:sz w:val="28"/>
                <w:szCs w:val="28"/>
              </w:rPr>
              <w:t xml:space="preserve">на ЭТЗП (на странице данного </w:t>
            </w:r>
            <w:r w:rsidR="00BE08B6">
              <w:rPr>
                <w:sz w:val="28"/>
                <w:szCs w:val="28"/>
              </w:rPr>
              <w:t>открытого конкурса</w:t>
            </w:r>
            <w:r w:rsidRPr="00DE6E5A">
              <w:rPr>
                <w:sz w:val="28"/>
                <w:szCs w:val="28"/>
              </w:rPr>
              <w:t xml:space="preserve"> на сайте ЭТЗП)</w:t>
            </w:r>
            <w:r w:rsidRPr="00DE6E5A">
              <w:rPr>
                <w:bCs/>
                <w:i/>
                <w:sz w:val="28"/>
                <w:szCs w:val="28"/>
              </w:rPr>
              <w:t>.</w:t>
            </w:r>
          </w:p>
          <w:p w:rsidR="005055B4" w:rsidRPr="00530F67" w:rsidRDefault="005055B4" w:rsidP="005055B4">
            <w:pPr>
              <w:numPr>
                <w:ilvl w:val="0"/>
                <w:numId w:val="1"/>
              </w:numPr>
              <w:ind w:left="8" w:firstLine="0"/>
              <w:jc w:val="both"/>
              <w:rPr>
                <w:b/>
                <w:bCs/>
                <w:sz w:val="28"/>
                <w:szCs w:val="28"/>
              </w:rPr>
            </w:pPr>
            <w:r w:rsidRPr="00DE6E5A">
              <w:rPr>
                <w:bCs/>
                <w:sz w:val="28"/>
                <w:szCs w:val="28"/>
              </w:rPr>
              <w:lastRenderedPageBreak/>
              <w:t xml:space="preserve">Рассмотрение заявок осуществляется </w:t>
            </w:r>
            <w:r w:rsidR="00BE08B6" w:rsidRPr="00530F67">
              <w:rPr>
                <w:b/>
                <w:bCs/>
                <w:sz w:val="28"/>
                <w:szCs w:val="28"/>
              </w:rPr>
              <w:t>«</w:t>
            </w:r>
            <w:r w:rsidR="000F2160">
              <w:rPr>
                <w:b/>
                <w:bCs/>
                <w:sz w:val="28"/>
                <w:szCs w:val="28"/>
              </w:rPr>
              <w:t>2</w:t>
            </w:r>
            <w:r w:rsidR="00B46082">
              <w:rPr>
                <w:b/>
                <w:bCs/>
                <w:sz w:val="28"/>
                <w:szCs w:val="28"/>
              </w:rPr>
              <w:t>5</w:t>
            </w:r>
            <w:r w:rsidR="00BE08B6" w:rsidRPr="00530F67">
              <w:rPr>
                <w:b/>
                <w:bCs/>
                <w:sz w:val="28"/>
                <w:szCs w:val="28"/>
              </w:rPr>
              <w:t xml:space="preserve">» </w:t>
            </w:r>
            <w:r w:rsidR="00031CD2">
              <w:rPr>
                <w:b/>
                <w:bCs/>
                <w:sz w:val="28"/>
                <w:szCs w:val="28"/>
              </w:rPr>
              <w:t>ноября</w:t>
            </w:r>
            <w:r w:rsidR="00BE08B6" w:rsidRPr="00530F67">
              <w:rPr>
                <w:b/>
                <w:bCs/>
                <w:sz w:val="28"/>
                <w:szCs w:val="28"/>
              </w:rPr>
              <w:t xml:space="preserve"> 2019 г.</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Подведение итогов </w:t>
            </w:r>
            <w:r w:rsidR="00BE08B6">
              <w:rPr>
                <w:bCs/>
                <w:sz w:val="28"/>
                <w:szCs w:val="28"/>
              </w:rPr>
              <w:t>открытого конкурса</w:t>
            </w:r>
            <w:r w:rsidRPr="00DE6E5A">
              <w:rPr>
                <w:bCs/>
                <w:sz w:val="28"/>
                <w:szCs w:val="28"/>
              </w:rPr>
              <w:t xml:space="preserve"> осуществляется </w:t>
            </w:r>
            <w:r w:rsidR="00BE08B6" w:rsidRPr="00530F67">
              <w:rPr>
                <w:b/>
                <w:bCs/>
                <w:sz w:val="28"/>
                <w:szCs w:val="28"/>
              </w:rPr>
              <w:t>«</w:t>
            </w:r>
            <w:r w:rsidR="00031CD2">
              <w:rPr>
                <w:b/>
                <w:bCs/>
                <w:sz w:val="28"/>
                <w:szCs w:val="28"/>
              </w:rPr>
              <w:softHyphen/>
            </w:r>
            <w:r w:rsidR="00031CD2">
              <w:rPr>
                <w:b/>
                <w:bCs/>
                <w:sz w:val="28"/>
                <w:szCs w:val="28"/>
              </w:rPr>
              <w:softHyphen/>
            </w:r>
            <w:r w:rsidR="00031CD2">
              <w:rPr>
                <w:b/>
                <w:bCs/>
                <w:sz w:val="28"/>
                <w:szCs w:val="28"/>
              </w:rPr>
              <w:softHyphen/>
            </w:r>
            <w:r w:rsidR="00031CD2">
              <w:rPr>
                <w:b/>
                <w:bCs/>
                <w:sz w:val="28"/>
                <w:szCs w:val="28"/>
              </w:rPr>
              <w:softHyphen/>
            </w:r>
            <w:r w:rsidR="00031CD2">
              <w:rPr>
                <w:b/>
                <w:bCs/>
                <w:sz w:val="28"/>
                <w:szCs w:val="28"/>
              </w:rPr>
              <w:softHyphen/>
            </w:r>
            <w:r w:rsidR="00031CD2">
              <w:rPr>
                <w:b/>
                <w:bCs/>
                <w:sz w:val="28"/>
                <w:szCs w:val="28"/>
              </w:rPr>
              <w:softHyphen/>
            </w:r>
            <w:r w:rsidR="00031CD2">
              <w:rPr>
                <w:b/>
                <w:bCs/>
                <w:sz w:val="28"/>
                <w:szCs w:val="28"/>
              </w:rPr>
              <w:softHyphen/>
            </w:r>
            <w:r w:rsidR="000F2160">
              <w:rPr>
                <w:b/>
                <w:bCs/>
                <w:sz w:val="28"/>
                <w:szCs w:val="28"/>
              </w:rPr>
              <w:t>2</w:t>
            </w:r>
            <w:r w:rsidR="00B46082">
              <w:rPr>
                <w:b/>
                <w:bCs/>
                <w:sz w:val="28"/>
                <w:szCs w:val="28"/>
              </w:rPr>
              <w:t>6</w:t>
            </w:r>
            <w:bookmarkStart w:id="1" w:name="_GoBack"/>
            <w:bookmarkEnd w:id="1"/>
            <w:r w:rsidR="00AC174C">
              <w:rPr>
                <w:b/>
                <w:bCs/>
                <w:sz w:val="28"/>
                <w:szCs w:val="28"/>
              </w:rPr>
              <w:t>»</w:t>
            </w:r>
            <w:r w:rsidR="00BE08B6" w:rsidRPr="00530F67">
              <w:rPr>
                <w:b/>
                <w:bCs/>
                <w:sz w:val="28"/>
                <w:szCs w:val="28"/>
              </w:rPr>
              <w:t xml:space="preserve"> </w:t>
            </w:r>
            <w:r w:rsidR="00031CD2">
              <w:rPr>
                <w:b/>
                <w:bCs/>
                <w:sz w:val="28"/>
                <w:szCs w:val="28"/>
              </w:rPr>
              <w:t>ноября</w:t>
            </w:r>
            <w:r w:rsidR="00BE08B6" w:rsidRPr="00530F67">
              <w:rPr>
                <w:b/>
                <w:bCs/>
                <w:sz w:val="28"/>
                <w:szCs w:val="28"/>
              </w:rPr>
              <w:t xml:space="preserve"> 2019 года</w:t>
            </w:r>
            <w:r w:rsidRPr="00530F67">
              <w:rPr>
                <w:b/>
                <w:bCs/>
                <w:sz w:val="28"/>
                <w:szCs w:val="28"/>
              </w:rPr>
              <w:t>.</w:t>
            </w:r>
          </w:p>
          <w:p w:rsidR="005055B4" w:rsidRPr="00DE6E5A" w:rsidRDefault="005055B4" w:rsidP="001D16EB">
            <w:pPr>
              <w:numPr>
                <w:ilvl w:val="0"/>
                <w:numId w:val="1"/>
              </w:numPr>
              <w:ind w:left="8" w:firstLine="0"/>
              <w:jc w:val="both"/>
              <w:rPr>
                <w:bCs/>
                <w:sz w:val="28"/>
                <w:szCs w:val="28"/>
              </w:rPr>
            </w:pPr>
            <w:bookmarkStart w:id="2" w:name="_Hlk12629883"/>
            <w:r w:rsidRPr="001D16EB">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bookmarkEnd w:id="2"/>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13.</w:t>
            </w:r>
          </w:p>
        </w:tc>
        <w:tc>
          <w:tcPr>
            <w:tcW w:w="3776" w:type="dxa"/>
          </w:tcPr>
          <w:p w:rsidR="005055B4" w:rsidRPr="00DE6E5A" w:rsidRDefault="005055B4" w:rsidP="005055B4">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1D" w:rsidRDefault="0059071D">
      <w:r>
        <w:separator/>
      </w:r>
    </w:p>
  </w:endnote>
  <w:endnote w:type="continuationSeparator" w:id="0">
    <w:p w:rsidR="0059071D" w:rsidRDefault="0059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D7D15" w:rsidP="006D7D1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1D" w:rsidRDefault="0059071D">
      <w:r>
        <w:separator/>
      </w:r>
    </w:p>
  </w:footnote>
  <w:footnote w:type="continuationSeparator" w:id="0">
    <w:p w:rsidR="0059071D" w:rsidRDefault="0059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847B06">
      <w:rPr>
        <w:rStyle w:val="aa"/>
        <w:noProof/>
      </w:rPr>
      <w:t>3</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4635"/>
    <w:multiLevelType w:val="hybridMultilevel"/>
    <w:tmpl w:val="F38AA1C6"/>
    <w:lvl w:ilvl="0" w:tplc="06622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5"/>
    <w:rsid w:val="0002508F"/>
    <w:rsid w:val="00031CD2"/>
    <w:rsid w:val="00036B21"/>
    <w:rsid w:val="000C0F93"/>
    <w:rsid w:val="000D79B1"/>
    <w:rsid w:val="000F2160"/>
    <w:rsid w:val="001519EF"/>
    <w:rsid w:val="00170469"/>
    <w:rsid w:val="00175AB3"/>
    <w:rsid w:val="00182934"/>
    <w:rsid w:val="001B0433"/>
    <w:rsid w:val="001D16EB"/>
    <w:rsid w:val="001E6DAB"/>
    <w:rsid w:val="001F1F05"/>
    <w:rsid w:val="001F7F1B"/>
    <w:rsid w:val="00232172"/>
    <w:rsid w:val="00240308"/>
    <w:rsid w:val="002A7402"/>
    <w:rsid w:val="002B63A8"/>
    <w:rsid w:val="002F1D9D"/>
    <w:rsid w:val="00310A99"/>
    <w:rsid w:val="00313772"/>
    <w:rsid w:val="00356021"/>
    <w:rsid w:val="003D7635"/>
    <w:rsid w:val="003E58CE"/>
    <w:rsid w:val="00407F2E"/>
    <w:rsid w:val="00440FB7"/>
    <w:rsid w:val="00444211"/>
    <w:rsid w:val="00447A76"/>
    <w:rsid w:val="004752B5"/>
    <w:rsid w:val="004C1129"/>
    <w:rsid w:val="004C1EA2"/>
    <w:rsid w:val="004E2FED"/>
    <w:rsid w:val="005055B4"/>
    <w:rsid w:val="00512317"/>
    <w:rsid w:val="00530F67"/>
    <w:rsid w:val="00580F27"/>
    <w:rsid w:val="0059071D"/>
    <w:rsid w:val="005A22FE"/>
    <w:rsid w:val="005B2EBD"/>
    <w:rsid w:val="005C3B70"/>
    <w:rsid w:val="005D431F"/>
    <w:rsid w:val="005E0AE0"/>
    <w:rsid w:val="00600AC6"/>
    <w:rsid w:val="0060681D"/>
    <w:rsid w:val="0064650F"/>
    <w:rsid w:val="006676E8"/>
    <w:rsid w:val="00693D77"/>
    <w:rsid w:val="00696935"/>
    <w:rsid w:val="006A4492"/>
    <w:rsid w:val="006A64A6"/>
    <w:rsid w:val="006C6042"/>
    <w:rsid w:val="006D7D15"/>
    <w:rsid w:val="006E16FB"/>
    <w:rsid w:val="006F002F"/>
    <w:rsid w:val="006F1872"/>
    <w:rsid w:val="006F3A5C"/>
    <w:rsid w:val="007350E9"/>
    <w:rsid w:val="00741BC8"/>
    <w:rsid w:val="007454B5"/>
    <w:rsid w:val="00756A3B"/>
    <w:rsid w:val="0077009B"/>
    <w:rsid w:val="00770CBE"/>
    <w:rsid w:val="007844D7"/>
    <w:rsid w:val="007C6A1D"/>
    <w:rsid w:val="007F338A"/>
    <w:rsid w:val="00847B06"/>
    <w:rsid w:val="0085120F"/>
    <w:rsid w:val="00871F95"/>
    <w:rsid w:val="00891C1C"/>
    <w:rsid w:val="008A65A7"/>
    <w:rsid w:val="008B2337"/>
    <w:rsid w:val="008F2259"/>
    <w:rsid w:val="00900767"/>
    <w:rsid w:val="00903CFA"/>
    <w:rsid w:val="0092449F"/>
    <w:rsid w:val="00924DAF"/>
    <w:rsid w:val="00926831"/>
    <w:rsid w:val="00935AD5"/>
    <w:rsid w:val="00940D80"/>
    <w:rsid w:val="009416A7"/>
    <w:rsid w:val="009542E2"/>
    <w:rsid w:val="00980459"/>
    <w:rsid w:val="0098231C"/>
    <w:rsid w:val="009B69A9"/>
    <w:rsid w:val="009D5F5C"/>
    <w:rsid w:val="00A6274C"/>
    <w:rsid w:val="00A81A05"/>
    <w:rsid w:val="00AC174C"/>
    <w:rsid w:val="00AD4B91"/>
    <w:rsid w:val="00AD568D"/>
    <w:rsid w:val="00AE063E"/>
    <w:rsid w:val="00B03043"/>
    <w:rsid w:val="00B36CDB"/>
    <w:rsid w:val="00B46082"/>
    <w:rsid w:val="00B51DA8"/>
    <w:rsid w:val="00B6030F"/>
    <w:rsid w:val="00B81E46"/>
    <w:rsid w:val="00BB6CE7"/>
    <w:rsid w:val="00BE08B6"/>
    <w:rsid w:val="00C172BC"/>
    <w:rsid w:val="00C215CF"/>
    <w:rsid w:val="00C948BD"/>
    <w:rsid w:val="00D275AA"/>
    <w:rsid w:val="00D3676D"/>
    <w:rsid w:val="00DE63E4"/>
    <w:rsid w:val="00DE6E5A"/>
    <w:rsid w:val="00E73AC7"/>
    <w:rsid w:val="00EB59E4"/>
    <w:rsid w:val="00ED29FF"/>
    <w:rsid w:val="00ED5B3F"/>
    <w:rsid w:val="00EF1985"/>
    <w:rsid w:val="00EF7DAC"/>
    <w:rsid w:val="00F62FC6"/>
    <w:rsid w:val="00F844D8"/>
    <w:rsid w:val="00FA0154"/>
    <w:rsid w:val="00FB41F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B1B2"/>
  <w15:docId w15:val="{18334360-404D-4AE8-B21D-487B633A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Заголовок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CD66-D3A2-4226-AD88-CAFCF13B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tihonovalv@ppk.ch</cp:lastModifiedBy>
  <cp:revision>4</cp:revision>
  <cp:lastPrinted>2019-06-28T13:57:00Z</cp:lastPrinted>
  <dcterms:created xsi:type="dcterms:W3CDTF">2019-10-24T12:17:00Z</dcterms:created>
  <dcterms:modified xsi:type="dcterms:W3CDTF">2019-10-30T06:13:00Z</dcterms:modified>
</cp:coreProperties>
</file>